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DE20" w14:textId="6B1A9860" w:rsidR="00711F61" w:rsidRDefault="007138DA" w:rsidP="007138DA">
      <w:pPr>
        <w:rPr>
          <w:b/>
          <w:bCs/>
          <w:sz w:val="48"/>
          <w:szCs w:val="48"/>
          <w:lang w:val="sv"/>
        </w:rPr>
      </w:pPr>
      <w:r w:rsidRPr="00711F61">
        <w:rPr>
          <w:b/>
          <w:bCs/>
          <w:sz w:val="48"/>
          <w:szCs w:val="48"/>
          <w:lang w:val="sv"/>
        </w:rPr>
        <w:t xml:space="preserve">Finansiell information </w:t>
      </w:r>
    </w:p>
    <w:p w14:paraId="76549D52" w14:textId="77777777" w:rsidR="00886B87" w:rsidRPr="00711F61" w:rsidRDefault="00886B87" w:rsidP="007138DA">
      <w:pPr>
        <w:rPr>
          <w:b/>
          <w:bCs/>
          <w:sz w:val="48"/>
          <w:szCs w:val="48"/>
          <w:lang w:val="sv"/>
        </w:rPr>
      </w:pPr>
    </w:p>
    <w:tbl>
      <w:tblPr>
        <w:tblW w:w="10512" w:type="dxa"/>
        <w:tblInd w:w="-730" w:type="dxa"/>
        <w:tblCellMar>
          <w:left w:w="0" w:type="dxa"/>
          <w:right w:w="0" w:type="dxa"/>
        </w:tblCellMar>
        <w:tblLook w:val="0420" w:firstRow="1" w:lastRow="0" w:firstColumn="0" w:lastColumn="0" w:noHBand="0" w:noVBand="1"/>
      </w:tblPr>
      <w:tblGrid>
        <w:gridCol w:w="1318"/>
        <w:gridCol w:w="1414"/>
        <w:gridCol w:w="1255"/>
        <w:gridCol w:w="1268"/>
        <w:gridCol w:w="1301"/>
        <w:gridCol w:w="1276"/>
        <w:gridCol w:w="1263"/>
        <w:gridCol w:w="1417"/>
      </w:tblGrid>
      <w:tr w:rsidR="00711F61" w:rsidRPr="005E2CA0" w14:paraId="4ECFED61" w14:textId="77777777" w:rsidTr="00711F61">
        <w:trPr>
          <w:trHeight w:val="475"/>
        </w:trPr>
        <w:tc>
          <w:tcPr>
            <w:tcW w:w="131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2B563E0F" w14:textId="77777777" w:rsidR="007138DA" w:rsidRPr="00F12E46" w:rsidRDefault="007138DA" w:rsidP="00E1661F">
            <w:pPr>
              <w:rPr>
                <w:b/>
                <w:bCs/>
                <w:sz w:val="28"/>
                <w:szCs w:val="28"/>
                <w:lang w:val="en-US"/>
              </w:rPr>
            </w:pPr>
          </w:p>
        </w:tc>
        <w:tc>
          <w:tcPr>
            <w:tcW w:w="1414"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2697807F" w14:textId="77777777" w:rsidR="007138DA" w:rsidRPr="005E2CA0" w:rsidRDefault="007138DA" w:rsidP="00E1661F">
            <w:pPr>
              <w:rPr>
                <w:b/>
                <w:bCs/>
                <w:sz w:val="28"/>
                <w:szCs w:val="28"/>
              </w:rPr>
            </w:pPr>
            <w:proofErr w:type="gramStart"/>
            <w:r w:rsidRPr="005E2CA0">
              <w:rPr>
                <w:b/>
                <w:bCs/>
                <w:sz w:val="28"/>
                <w:szCs w:val="28"/>
                <w:lang w:val="sv"/>
              </w:rPr>
              <w:t>2019-20</w:t>
            </w:r>
            <w:proofErr w:type="gramEnd"/>
          </w:p>
        </w:tc>
        <w:tc>
          <w:tcPr>
            <w:tcW w:w="1255"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1D2940B6" w14:textId="77777777" w:rsidR="007138DA" w:rsidRPr="005E2CA0" w:rsidRDefault="007138DA" w:rsidP="00E1661F">
            <w:pPr>
              <w:rPr>
                <w:b/>
                <w:bCs/>
                <w:sz w:val="28"/>
                <w:szCs w:val="28"/>
              </w:rPr>
            </w:pPr>
            <w:proofErr w:type="gramStart"/>
            <w:r w:rsidRPr="005E2CA0">
              <w:rPr>
                <w:b/>
                <w:bCs/>
                <w:sz w:val="28"/>
                <w:szCs w:val="28"/>
                <w:lang w:val="sv"/>
              </w:rPr>
              <w:t>2020-21</w:t>
            </w:r>
            <w:proofErr w:type="gramEnd"/>
          </w:p>
        </w:tc>
        <w:tc>
          <w:tcPr>
            <w:tcW w:w="1268"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52A43EE9" w14:textId="77777777" w:rsidR="007138DA" w:rsidRPr="005E2CA0" w:rsidRDefault="007138DA" w:rsidP="00E1661F">
            <w:pPr>
              <w:rPr>
                <w:b/>
                <w:bCs/>
                <w:sz w:val="28"/>
                <w:szCs w:val="28"/>
              </w:rPr>
            </w:pPr>
            <w:proofErr w:type="gramStart"/>
            <w:r w:rsidRPr="005E2CA0">
              <w:rPr>
                <w:b/>
                <w:bCs/>
                <w:sz w:val="28"/>
                <w:szCs w:val="28"/>
                <w:lang w:val="sv"/>
              </w:rPr>
              <w:t>2021-22</w:t>
            </w:r>
            <w:proofErr w:type="gramEnd"/>
          </w:p>
        </w:tc>
        <w:tc>
          <w:tcPr>
            <w:tcW w:w="1301"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020E64B6" w14:textId="77777777" w:rsidR="007138DA" w:rsidRPr="005E2CA0" w:rsidRDefault="007138DA" w:rsidP="00E1661F">
            <w:pPr>
              <w:rPr>
                <w:b/>
                <w:bCs/>
                <w:sz w:val="28"/>
                <w:szCs w:val="28"/>
              </w:rPr>
            </w:pPr>
            <w:proofErr w:type="gramStart"/>
            <w:r w:rsidRPr="005E2CA0">
              <w:rPr>
                <w:b/>
                <w:bCs/>
                <w:sz w:val="28"/>
                <w:szCs w:val="28"/>
                <w:lang w:val="sv"/>
              </w:rPr>
              <w:t>2022-23</w:t>
            </w:r>
            <w:proofErr w:type="gramEnd"/>
          </w:p>
        </w:tc>
        <w:tc>
          <w:tcPr>
            <w:tcW w:w="1276"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7D3A5B74" w14:textId="77777777" w:rsidR="007138DA" w:rsidRPr="005E2CA0" w:rsidRDefault="007138DA" w:rsidP="00E1661F">
            <w:pPr>
              <w:rPr>
                <w:b/>
                <w:bCs/>
                <w:sz w:val="28"/>
                <w:szCs w:val="28"/>
              </w:rPr>
            </w:pPr>
            <w:proofErr w:type="gramStart"/>
            <w:r w:rsidRPr="005E2CA0">
              <w:rPr>
                <w:b/>
                <w:bCs/>
                <w:sz w:val="28"/>
                <w:szCs w:val="28"/>
                <w:lang w:val="sv"/>
              </w:rPr>
              <w:t>2023-24</w:t>
            </w:r>
            <w:proofErr w:type="gramEnd"/>
          </w:p>
        </w:tc>
        <w:tc>
          <w:tcPr>
            <w:tcW w:w="1263"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42D359F8" w14:textId="77777777" w:rsidR="007138DA" w:rsidRPr="005E2CA0" w:rsidRDefault="007138DA" w:rsidP="00E1661F">
            <w:pPr>
              <w:rPr>
                <w:b/>
                <w:bCs/>
                <w:sz w:val="28"/>
                <w:szCs w:val="28"/>
              </w:rPr>
            </w:pPr>
            <w:proofErr w:type="gramStart"/>
            <w:r w:rsidRPr="005E2CA0">
              <w:rPr>
                <w:b/>
                <w:bCs/>
                <w:sz w:val="28"/>
                <w:szCs w:val="28"/>
                <w:lang w:val="sv"/>
              </w:rPr>
              <w:t>2024-25</w:t>
            </w:r>
            <w:proofErr w:type="gramEnd"/>
          </w:p>
        </w:tc>
        <w:tc>
          <w:tcPr>
            <w:tcW w:w="1417" w:type="dxa"/>
            <w:tcBorders>
              <w:top w:val="single" w:sz="6" w:space="0" w:color="9E9E9E"/>
              <w:left w:val="single" w:sz="6" w:space="0" w:color="9E9E9E"/>
              <w:bottom w:val="single" w:sz="6" w:space="0" w:color="9E9E9E"/>
              <w:right w:val="single" w:sz="6" w:space="0" w:color="9E9E9E"/>
            </w:tcBorders>
            <w:shd w:val="clear" w:color="auto" w:fill="FFCD8C"/>
            <w:tcMar>
              <w:top w:w="72" w:type="dxa"/>
              <w:left w:w="144" w:type="dxa"/>
              <w:bottom w:w="72" w:type="dxa"/>
              <w:right w:w="144" w:type="dxa"/>
            </w:tcMar>
            <w:vAlign w:val="center"/>
            <w:hideMark/>
          </w:tcPr>
          <w:p w14:paraId="412F4DFE" w14:textId="77777777" w:rsidR="007138DA" w:rsidRPr="005E2CA0" w:rsidRDefault="007138DA" w:rsidP="00E1661F">
            <w:pPr>
              <w:rPr>
                <w:b/>
                <w:bCs/>
                <w:sz w:val="28"/>
                <w:szCs w:val="28"/>
              </w:rPr>
            </w:pPr>
            <w:proofErr w:type="gramStart"/>
            <w:r w:rsidRPr="005E2CA0">
              <w:rPr>
                <w:b/>
                <w:bCs/>
                <w:sz w:val="28"/>
                <w:szCs w:val="28"/>
                <w:lang w:val="sv"/>
              </w:rPr>
              <w:t>2025-26</w:t>
            </w:r>
            <w:proofErr w:type="gramEnd"/>
          </w:p>
        </w:tc>
      </w:tr>
      <w:tr w:rsidR="00711F61" w:rsidRPr="005E2CA0" w14:paraId="32A5B2C0" w14:textId="77777777" w:rsidTr="00711F61">
        <w:trPr>
          <w:trHeight w:val="475"/>
        </w:trPr>
        <w:tc>
          <w:tcPr>
            <w:tcW w:w="131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19D26F7E" w14:textId="77777777" w:rsidR="007138DA" w:rsidRPr="005E2CA0" w:rsidRDefault="007138DA" w:rsidP="00E1661F">
            <w:pPr>
              <w:rPr>
                <w:b/>
                <w:bCs/>
                <w:sz w:val="28"/>
                <w:szCs w:val="28"/>
              </w:rPr>
            </w:pPr>
          </w:p>
        </w:tc>
        <w:tc>
          <w:tcPr>
            <w:tcW w:w="1414"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390BF2AA" w14:textId="77777777" w:rsidR="007138DA" w:rsidRPr="005E2CA0" w:rsidRDefault="007138DA" w:rsidP="00E1661F">
            <w:pPr>
              <w:rPr>
                <w:b/>
                <w:bCs/>
                <w:sz w:val="28"/>
                <w:szCs w:val="28"/>
              </w:rPr>
            </w:pPr>
            <w:r w:rsidRPr="005E2CA0">
              <w:rPr>
                <w:b/>
                <w:bCs/>
                <w:sz w:val="28"/>
                <w:szCs w:val="28"/>
                <w:lang w:val="sv"/>
              </w:rPr>
              <w:t>Insåg</w:t>
            </w:r>
          </w:p>
        </w:tc>
        <w:tc>
          <w:tcPr>
            <w:tcW w:w="1255"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1A693EF3" w14:textId="77777777" w:rsidR="007138DA" w:rsidRPr="005E2CA0" w:rsidRDefault="007138DA" w:rsidP="00E1661F">
            <w:pPr>
              <w:rPr>
                <w:b/>
                <w:bCs/>
                <w:sz w:val="28"/>
                <w:szCs w:val="28"/>
              </w:rPr>
            </w:pPr>
            <w:r w:rsidRPr="005E2CA0">
              <w:rPr>
                <w:b/>
                <w:bCs/>
                <w:sz w:val="28"/>
                <w:szCs w:val="28"/>
                <w:lang w:val="sv"/>
              </w:rPr>
              <w:t>Insåg</w:t>
            </w:r>
          </w:p>
        </w:tc>
        <w:tc>
          <w:tcPr>
            <w:tcW w:w="1268"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52A0A5ED" w14:textId="77777777" w:rsidR="007138DA" w:rsidRPr="005E2CA0" w:rsidRDefault="007138DA" w:rsidP="00E1661F">
            <w:pPr>
              <w:rPr>
                <w:b/>
                <w:bCs/>
                <w:sz w:val="28"/>
                <w:szCs w:val="28"/>
              </w:rPr>
            </w:pPr>
            <w:r w:rsidRPr="005E2CA0">
              <w:rPr>
                <w:b/>
                <w:bCs/>
                <w:sz w:val="28"/>
                <w:szCs w:val="28"/>
                <w:lang w:val="sv"/>
              </w:rPr>
              <w:t>Insåg</w:t>
            </w:r>
          </w:p>
        </w:tc>
        <w:tc>
          <w:tcPr>
            <w:tcW w:w="1301"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780A5108" w14:textId="77777777" w:rsidR="007138DA" w:rsidRPr="005E2CA0" w:rsidRDefault="007138DA" w:rsidP="00E1661F">
            <w:pPr>
              <w:rPr>
                <w:b/>
                <w:bCs/>
                <w:sz w:val="28"/>
                <w:szCs w:val="28"/>
              </w:rPr>
            </w:pPr>
            <w:r w:rsidRPr="005E2CA0">
              <w:rPr>
                <w:b/>
                <w:bCs/>
                <w:sz w:val="28"/>
                <w:szCs w:val="28"/>
                <w:lang w:val="sv"/>
              </w:rPr>
              <w:t xml:space="preserve">Budget </w:t>
            </w:r>
          </w:p>
        </w:tc>
        <w:tc>
          <w:tcPr>
            <w:tcW w:w="1276"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3ED39B3D" w14:textId="77777777" w:rsidR="007138DA" w:rsidRPr="005E2CA0" w:rsidRDefault="007138DA" w:rsidP="00E1661F">
            <w:pPr>
              <w:rPr>
                <w:b/>
                <w:bCs/>
                <w:sz w:val="28"/>
                <w:szCs w:val="28"/>
              </w:rPr>
            </w:pPr>
            <w:r w:rsidRPr="005E2CA0">
              <w:rPr>
                <w:b/>
                <w:bCs/>
                <w:sz w:val="28"/>
                <w:szCs w:val="28"/>
                <w:lang w:val="sv"/>
              </w:rPr>
              <w:t xml:space="preserve">Budget </w:t>
            </w:r>
          </w:p>
        </w:tc>
        <w:tc>
          <w:tcPr>
            <w:tcW w:w="1263"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56F74C66" w14:textId="77777777" w:rsidR="007138DA" w:rsidRPr="005E2CA0" w:rsidRDefault="007138DA" w:rsidP="00E1661F">
            <w:pPr>
              <w:rPr>
                <w:b/>
                <w:bCs/>
                <w:sz w:val="28"/>
                <w:szCs w:val="28"/>
              </w:rPr>
            </w:pPr>
            <w:r w:rsidRPr="005E2CA0">
              <w:rPr>
                <w:b/>
                <w:bCs/>
                <w:sz w:val="28"/>
                <w:szCs w:val="28"/>
                <w:lang w:val="sv"/>
              </w:rPr>
              <w:t>Budget</w:t>
            </w:r>
          </w:p>
        </w:tc>
        <w:tc>
          <w:tcPr>
            <w:tcW w:w="1417" w:type="dxa"/>
            <w:tcBorders>
              <w:top w:val="single" w:sz="6" w:space="0" w:color="9E9E9E"/>
              <w:left w:val="single" w:sz="6" w:space="0" w:color="9E9E9E"/>
              <w:bottom w:val="single" w:sz="6" w:space="0" w:color="9E9E9E"/>
              <w:right w:val="single" w:sz="6" w:space="0" w:color="9E9E9E"/>
            </w:tcBorders>
            <w:shd w:val="clear" w:color="auto" w:fill="D9E7FD"/>
            <w:tcMar>
              <w:top w:w="72" w:type="dxa"/>
              <w:left w:w="144" w:type="dxa"/>
              <w:bottom w:w="72" w:type="dxa"/>
              <w:right w:w="144" w:type="dxa"/>
            </w:tcMar>
            <w:vAlign w:val="center"/>
            <w:hideMark/>
          </w:tcPr>
          <w:p w14:paraId="683ACBB4" w14:textId="77777777" w:rsidR="007138DA" w:rsidRPr="005E2CA0" w:rsidRDefault="007138DA" w:rsidP="00E1661F">
            <w:pPr>
              <w:rPr>
                <w:b/>
                <w:bCs/>
                <w:sz w:val="28"/>
                <w:szCs w:val="28"/>
              </w:rPr>
            </w:pPr>
            <w:r w:rsidRPr="005E2CA0">
              <w:rPr>
                <w:b/>
                <w:bCs/>
                <w:sz w:val="28"/>
                <w:szCs w:val="28"/>
                <w:lang w:val="sv"/>
              </w:rPr>
              <w:t>Budget</w:t>
            </w:r>
          </w:p>
        </w:tc>
      </w:tr>
      <w:tr w:rsidR="00711F61" w:rsidRPr="005E2CA0" w14:paraId="0879D3B5" w14:textId="77777777" w:rsidTr="00711F61">
        <w:trPr>
          <w:trHeight w:val="475"/>
        </w:trPr>
        <w:tc>
          <w:tcPr>
            <w:tcW w:w="131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19C73AFB" w14:textId="77777777" w:rsidR="007138DA" w:rsidRPr="005E2CA0" w:rsidRDefault="007138DA" w:rsidP="00E1661F">
            <w:pPr>
              <w:rPr>
                <w:b/>
                <w:bCs/>
                <w:sz w:val="28"/>
                <w:szCs w:val="28"/>
              </w:rPr>
            </w:pPr>
            <w:r w:rsidRPr="005E2CA0">
              <w:rPr>
                <w:b/>
                <w:bCs/>
                <w:sz w:val="28"/>
                <w:szCs w:val="28"/>
                <w:lang w:val="sv"/>
              </w:rPr>
              <w:t>Intäkt</w:t>
            </w:r>
          </w:p>
        </w:tc>
        <w:tc>
          <w:tcPr>
            <w:tcW w:w="14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0B2E70C0" w14:textId="77777777" w:rsidR="007138DA" w:rsidRPr="005E2CA0" w:rsidRDefault="007138DA" w:rsidP="00E1661F">
            <w:pPr>
              <w:rPr>
                <w:b/>
                <w:bCs/>
                <w:sz w:val="28"/>
                <w:szCs w:val="28"/>
              </w:rPr>
            </w:pPr>
            <w:proofErr w:type="gramStart"/>
            <w:r w:rsidRPr="005E2CA0">
              <w:rPr>
                <w:b/>
                <w:bCs/>
                <w:sz w:val="28"/>
                <w:szCs w:val="28"/>
                <w:lang w:val="sv"/>
              </w:rPr>
              <w:t>1.000</w:t>
            </w:r>
            <w:proofErr w:type="gramEnd"/>
            <w:r w:rsidRPr="005E2CA0">
              <w:rPr>
                <w:b/>
                <w:bCs/>
                <w:sz w:val="28"/>
                <w:szCs w:val="28"/>
                <w:lang w:val="sv"/>
              </w:rPr>
              <w:t xml:space="preserve"> </w:t>
            </w:r>
            <w:proofErr w:type="spellStart"/>
            <w:r w:rsidRPr="005E2CA0">
              <w:rPr>
                <w:b/>
                <w:bCs/>
                <w:sz w:val="28"/>
                <w:szCs w:val="28"/>
                <w:lang w:val="sv"/>
              </w:rPr>
              <w:t>tDKK</w:t>
            </w:r>
            <w:proofErr w:type="spellEnd"/>
          </w:p>
        </w:tc>
        <w:tc>
          <w:tcPr>
            <w:tcW w:w="125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0FA826C2" w14:textId="77777777" w:rsidR="007138DA" w:rsidRPr="005E2CA0" w:rsidRDefault="007138DA" w:rsidP="00E1661F">
            <w:pPr>
              <w:rPr>
                <w:b/>
                <w:bCs/>
                <w:sz w:val="28"/>
                <w:szCs w:val="28"/>
              </w:rPr>
            </w:pPr>
            <w:r w:rsidRPr="005E2CA0">
              <w:rPr>
                <w:b/>
                <w:bCs/>
                <w:sz w:val="28"/>
                <w:szCs w:val="28"/>
                <w:lang w:val="sv"/>
              </w:rPr>
              <w:t xml:space="preserve">2 300 </w:t>
            </w:r>
            <w:proofErr w:type="spellStart"/>
            <w:r w:rsidRPr="005E2CA0">
              <w:rPr>
                <w:b/>
                <w:bCs/>
                <w:sz w:val="28"/>
                <w:szCs w:val="28"/>
                <w:lang w:val="sv"/>
              </w:rPr>
              <w:t>tDKK</w:t>
            </w:r>
            <w:proofErr w:type="spellEnd"/>
          </w:p>
        </w:tc>
        <w:tc>
          <w:tcPr>
            <w:tcW w:w="126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0E38C03" w14:textId="77777777" w:rsidR="007138DA" w:rsidRPr="005E2CA0" w:rsidRDefault="007138DA" w:rsidP="00E1661F">
            <w:pPr>
              <w:rPr>
                <w:b/>
                <w:bCs/>
                <w:sz w:val="28"/>
                <w:szCs w:val="28"/>
              </w:rPr>
            </w:pPr>
            <w:proofErr w:type="gramStart"/>
            <w:r w:rsidRPr="005E2CA0">
              <w:rPr>
                <w:b/>
                <w:bCs/>
                <w:sz w:val="28"/>
                <w:szCs w:val="28"/>
                <w:lang w:val="sv"/>
              </w:rPr>
              <w:t>1.900</w:t>
            </w:r>
            <w:proofErr w:type="gramEnd"/>
            <w:r w:rsidRPr="005E2CA0">
              <w:rPr>
                <w:b/>
                <w:bCs/>
                <w:sz w:val="28"/>
                <w:szCs w:val="28"/>
                <w:lang w:val="sv"/>
              </w:rPr>
              <w:t xml:space="preserve"> </w:t>
            </w:r>
            <w:proofErr w:type="spellStart"/>
            <w:r w:rsidRPr="005E2CA0">
              <w:rPr>
                <w:b/>
                <w:bCs/>
                <w:sz w:val="28"/>
                <w:szCs w:val="28"/>
                <w:lang w:val="sv"/>
              </w:rPr>
              <w:t>tDKK</w:t>
            </w:r>
            <w:proofErr w:type="spellEnd"/>
          </w:p>
        </w:tc>
        <w:tc>
          <w:tcPr>
            <w:tcW w:w="130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747F1705" w14:textId="77777777" w:rsidR="007138DA" w:rsidRPr="005E2CA0" w:rsidRDefault="007138DA" w:rsidP="00E1661F">
            <w:pPr>
              <w:rPr>
                <w:b/>
                <w:bCs/>
                <w:sz w:val="28"/>
                <w:szCs w:val="28"/>
              </w:rPr>
            </w:pPr>
            <w:r w:rsidRPr="005E2CA0">
              <w:rPr>
                <w:b/>
                <w:bCs/>
                <w:sz w:val="28"/>
                <w:szCs w:val="28"/>
                <w:lang w:val="sv"/>
              </w:rPr>
              <w:t xml:space="preserve">2 700 </w:t>
            </w:r>
            <w:proofErr w:type="spellStart"/>
            <w:r w:rsidRPr="005E2CA0">
              <w:rPr>
                <w:b/>
                <w:bCs/>
                <w:sz w:val="28"/>
                <w:szCs w:val="28"/>
                <w:lang w:val="sv"/>
              </w:rPr>
              <w:t>tDDK</w:t>
            </w:r>
            <w:proofErr w:type="spellEnd"/>
          </w:p>
        </w:tc>
        <w:tc>
          <w:tcPr>
            <w:tcW w:w="127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AA3030B" w14:textId="77777777" w:rsidR="007138DA" w:rsidRPr="005E2CA0" w:rsidRDefault="007138DA" w:rsidP="00E1661F">
            <w:pPr>
              <w:rPr>
                <w:b/>
                <w:bCs/>
                <w:sz w:val="28"/>
                <w:szCs w:val="28"/>
              </w:rPr>
            </w:pPr>
            <w:proofErr w:type="gramStart"/>
            <w:r w:rsidRPr="005E2CA0">
              <w:rPr>
                <w:b/>
                <w:bCs/>
                <w:sz w:val="28"/>
                <w:szCs w:val="28"/>
                <w:lang w:val="sv"/>
              </w:rPr>
              <w:t>4.700</w:t>
            </w:r>
            <w:proofErr w:type="gramEnd"/>
            <w:r w:rsidRPr="005E2CA0">
              <w:rPr>
                <w:b/>
                <w:bCs/>
                <w:sz w:val="28"/>
                <w:szCs w:val="28"/>
                <w:lang w:val="sv"/>
              </w:rPr>
              <w:t xml:space="preserve"> </w:t>
            </w:r>
            <w:proofErr w:type="spellStart"/>
            <w:r w:rsidRPr="005E2CA0">
              <w:rPr>
                <w:b/>
                <w:bCs/>
                <w:sz w:val="28"/>
                <w:szCs w:val="28"/>
                <w:lang w:val="sv"/>
              </w:rPr>
              <w:t>tDKK</w:t>
            </w:r>
            <w:proofErr w:type="spellEnd"/>
          </w:p>
        </w:tc>
        <w:tc>
          <w:tcPr>
            <w:tcW w:w="1263"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6AB889F2" w14:textId="77777777" w:rsidR="007138DA" w:rsidRPr="005E2CA0" w:rsidRDefault="007138DA" w:rsidP="00E1661F">
            <w:pPr>
              <w:rPr>
                <w:b/>
                <w:bCs/>
                <w:sz w:val="28"/>
                <w:szCs w:val="28"/>
              </w:rPr>
            </w:pPr>
            <w:r w:rsidRPr="005E2CA0">
              <w:rPr>
                <w:b/>
                <w:bCs/>
                <w:sz w:val="28"/>
                <w:szCs w:val="28"/>
                <w:lang w:val="sv"/>
              </w:rPr>
              <w:t xml:space="preserve">6 800 </w:t>
            </w:r>
            <w:proofErr w:type="spellStart"/>
            <w:r w:rsidRPr="005E2CA0">
              <w:rPr>
                <w:b/>
                <w:bCs/>
                <w:sz w:val="28"/>
                <w:szCs w:val="28"/>
                <w:lang w:val="sv"/>
              </w:rPr>
              <w:t>tDDK</w:t>
            </w:r>
            <w:proofErr w:type="spellEnd"/>
          </w:p>
        </w:tc>
        <w:tc>
          <w:tcPr>
            <w:tcW w:w="141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490F7A8" w14:textId="77777777" w:rsidR="007138DA" w:rsidRPr="005E2CA0" w:rsidRDefault="007138DA" w:rsidP="00E1661F">
            <w:pPr>
              <w:rPr>
                <w:b/>
                <w:bCs/>
                <w:sz w:val="28"/>
                <w:szCs w:val="28"/>
              </w:rPr>
            </w:pPr>
            <w:r w:rsidRPr="005E2CA0">
              <w:rPr>
                <w:b/>
                <w:bCs/>
                <w:sz w:val="28"/>
                <w:szCs w:val="28"/>
                <w:lang w:val="sv"/>
              </w:rPr>
              <w:t xml:space="preserve">9 200 </w:t>
            </w:r>
            <w:proofErr w:type="spellStart"/>
            <w:r w:rsidRPr="005E2CA0">
              <w:rPr>
                <w:b/>
                <w:bCs/>
                <w:sz w:val="28"/>
                <w:szCs w:val="28"/>
                <w:lang w:val="sv"/>
              </w:rPr>
              <w:t>tDDK</w:t>
            </w:r>
            <w:proofErr w:type="spellEnd"/>
          </w:p>
        </w:tc>
      </w:tr>
      <w:tr w:rsidR="00711F61" w:rsidRPr="005E2CA0" w14:paraId="5C7C573A" w14:textId="77777777" w:rsidTr="00711F61">
        <w:trPr>
          <w:trHeight w:val="475"/>
        </w:trPr>
        <w:tc>
          <w:tcPr>
            <w:tcW w:w="131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4BB7AE7" w14:textId="77777777" w:rsidR="007138DA" w:rsidRPr="005E2CA0" w:rsidRDefault="007138DA" w:rsidP="00E1661F">
            <w:pPr>
              <w:rPr>
                <w:b/>
                <w:bCs/>
                <w:sz w:val="28"/>
                <w:szCs w:val="28"/>
              </w:rPr>
            </w:pPr>
            <w:r w:rsidRPr="005E2CA0">
              <w:rPr>
                <w:b/>
                <w:bCs/>
                <w:sz w:val="28"/>
                <w:szCs w:val="28"/>
                <w:lang w:val="sv"/>
              </w:rPr>
              <w:t>Resultat (EBITDA)</w:t>
            </w:r>
          </w:p>
        </w:tc>
        <w:tc>
          <w:tcPr>
            <w:tcW w:w="1414"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6766D9F0" w14:textId="77777777" w:rsidR="007138DA" w:rsidRPr="005E2CA0" w:rsidRDefault="007138DA" w:rsidP="00E1661F">
            <w:pPr>
              <w:rPr>
                <w:b/>
                <w:bCs/>
                <w:sz w:val="28"/>
                <w:szCs w:val="28"/>
              </w:rPr>
            </w:pPr>
            <w:r w:rsidRPr="005E2CA0">
              <w:rPr>
                <w:b/>
                <w:bCs/>
                <w:sz w:val="28"/>
                <w:szCs w:val="28"/>
                <w:lang w:val="sv"/>
              </w:rPr>
              <w:t xml:space="preserve">190 </w:t>
            </w:r>
            <w:proofErr w:type="spellStart"/>
            <w:r w:rsidRPr="005E2CA0">
              <w:rPr>
                <w:b/>
                <w:bCs/>
                <w:sz w:val="28"/>
                <w:szCs w:val="28"/>
                <w:lang w:val="sv"/>
              </w:rPr>
              <w:t>tonDKK</w:t>
            </w:r>
            <w:proofErr w:type="spellEnd"/>
          </w:p>
        </w:tc>
        <w:tc>
          <w:tcPr>
            <w:tcW w:w="125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6FC3CD36" w14:textId="77777777" w:rsidR="007138DA" w:rsidRPr="005E2CA0" w:rsidRDefault="007138DA" w:rsidP="00E1661F">
            <w:pPr>
              <w:rPr>
                <w:b/>
                <w:bCs/>
                <w:sz w:val="28"/>
                <w:szCs w:val="28"/>
              </w:rPr>
            </w:pPr>
            <w:r w:rsidRPr="005E2CA0">
              <w:rPr>
                <w:b/>
                <w:bCs/>
                <w:sz w:val="28"/>
                <w:szCs w:val="28"/>
                <w:lang w:val="sv"/>
              </w:rPr>
              <w:t xml:space="preserve">530 </w:t>
            </w:r>
            <w:proofErr w:type="spellStart"/>
            <w:r w:rsidRPr="005E2CA0">
              <w:rPr>
                <w:b/>
                <w:bCs/>
                <w:sz w:val="28"/>
                <w:szCs w:val="28"/>
                <w:lang w:val="sv"/>
              </w:rPr>
              <w:t>tDKK</w:t>
            </w:r>
            <w:proofErr w:type="spellEnd"/>
          </w:p>
        </w:tc>
        <w:tc>
          <w:tcPr>
            <w:tcW w:w="1268"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5A48894" w14:textId="77777777" w:rsidR="007138DA" w:rsidRPr="005E2CA0" w:rsidRDefault="007138DA" w:rsidP="00E1661F">
            <w:pPr>
              <w:rPr>
                <w:b/>
                <w:bCs/>
                <w:sz w:val="28"/>
                <w:szCs w:val="28"/>
              </w:rPr>
            </w:pPr>
            <w:r w:rsidRPr="005E2CA0">
              <w:rPr>
                <w:b/>
                <w:bCs/>
                <w:sz w:val="28"/>
                <w:szCs w:val="28"/>
                <w:lang w:val="sv"/>
              </w:rPr>
              <w:t xml:space="preserve">50 </w:t>
            </w:r>
            <w:proofErr w:type="spellStart"/>
            <w:r w:rsidRPr="005E2CA0">
              <w:rPr>
                <w:b/>
                <w:bCs/>
                <w:sz w:val="28"/>
                <w:szCs w:val="28"/>
                <w:lang w:val="sv"/>
              </w:rPr>
              <w:t>tonDKK</w:t>
            </w:r>
            <w:proofErr w:type="spellEnd"/>
          </w:p>
        </w:tc>
        <w:tc>
          <w:tcPr>
            <w:tcW w:w="1301"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54186843" w14:textId="77777777" w:rsidR="007138DA" w:rsidRPr="005E2CA0" w:rsidRDefault="007138DA" w:rsidP="00E1661F">
            <w:pPr>
              <w:rPr>
                <w:b/>
                <w:bCs/>
                <w:sz w:val="28"/>
                <w:szCs w:val="28"/>
              </w:rPr>
            </w:pPr>
            <w:r w:rsidRPr="005E2CA0">
              <w:rPr>
                <w:b/>
                <w:bCs/>
                <w:sz w:val="28"/>
                <w:szCs w:val="28"/>
                <w:lang w:val="sv"/>
              </w:rPr>
              <w:t xml:space="preserve">- 1 700 </w:t>
            </w:r>
            <w:proofErr w:type="spellStart"/>
            <w:r w:rsidRPr="005E2CA0">
              <w:rPr>
                <w:b/>
                <w:bCs/>
                <w:sz w:val="28"/>
                <w:szCs w:val="28"/>
                <w:lang w:val="sv"/>
              </w:rPr>
              <w:t>tDKK</w:t>
            </w:r>
            <w:proofErr w:type="spellEnd"/>
          </w:p>
        </w:tc>
        <w:tc>
          <w:tcPr>
            <w:tcW w:w="1276"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4764ABA7" w14:textId="77777777" w:rsidR="007138DA" w:rsidRPr="005E2CA0" w:rsidRDefault="007138DA" w:rsidP="00E1661F">
            <w:pPr>
              <w:rPr>
                <w:b/>
                <w:bCs/>
                <w:sz w:val="28"/>
                <w:szCs w:val="28"/>
              </w:rPr>
            </w:pPr>
            <w:r w:rsidRPr="005E2CA0">
              <w:rPr>
                <w:b/>
                <w:bCs/>
                <w:sz w:val="28"/>
                <w:szCs w:val="28"/>
                <w:lang w:val="sv"/>
              </w:rPr>
              <w:t xml:space="preserve">- 500 </w:t>
            </w:r>
            <w:proofErr w:type="spellStart"/>
            <w:r w:rsidRPr="005E2CA0">
              <w:rPr>
                <w:b/>
                <w:bCs/>
                <w:sz w:val="28"/>
                <w:szCs w:val="28"/>
                <w:lang w:val="sv"/>
              </w:rPr>
              <w:t>tDKK</w:t>
            </w:r>
            <w:proofErr w:type="spellEnd"/>
          </w:p>
        </w:tc>
        <w:tc>
          <w:tcPr>
            <w:tcW w:w="1263"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7C1A1349" w14:textId="77777777" w:rsidR="007138DA" w:rsidRPr="005E2CA0" w:rsidRDefault="007138DA" w:rsidP="00E1661F">
            <w:pPr>
              <w:rPr>
                <w:b/>
                <w:bCs/>
                <w:sz w:val="28"/>
                <w:szCs w:val="28"/>
              </w:rPr>
            </w:pPr>
            <w:r w:rsidRPr="005E2CA0">
              <w:rPr>
                <w:b/>
                <w:bCs/>
                <w:sz w:val="28"/>
                <w:szCs w:val="28"/>
                <w:lang w:val="sv"/>
              </w:rPr>
              <w:t xml:space="preserve">650 </w:t>
            </w:r>
            <w:proofErr w:type="spellStart"/>
            <w:r w:rsidRPr="005E2CA0">
              <w:rPr>
                <w:b/>
                <w:bCs/>
                <w:sz w:val="28"/>
                <w:szCs w:val="28"/>
                <w:lang w:val="sv"/>
              </w:rPr>
              <w:t>tonDKK</w:t>
            </w:r>
            <w:proofErr w:type="spellEnd"/>
          </w:p>
        </w:tc>
        <w:tc>
          <w:tcPr>
            <w:tcW w:w="1417"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vAlign w:val="center"/>
            <w:hideMark/>
          </w:tcPr>
          <w:p w14:paraId="0F62CDC2" w14:textId="77777777" w:rsidR="007138DA" w:rsidRPr="005E2CA0" w:rsidRDefault="007138DA" w:rsidP="00E1661F">
            <w:pPr>
              <w:rPr>
                <w:b/>
                <w:bCs/>
                <w:sz w:val="28"/>
                <w:szCs w:val="28"/>
              </w:rPr>
            </w:pPr>
            <w:r w:rsidRPr="005E2CA0">
              <w:rPr>
                <w:b/>
                <w:bCs/>
                <w:sz w:val="28"/>
                <w:szCs w:val="28"/>
                <w:lang w:val="sv"/>
              </w:rPr>
              <w:t xml:space="preserve">2 400 </w:t>
            </w:r>
            <w:proofErr w:type="spellStart"/>
            <w:r w:rsidRPr="005E2CA0">
              <w:rPr>
                <w:b/>
                <w:bCs/>
                <w:sz w:val="28"/>
                <w:szCs w:val="28"/>
                <w:lang w:val="sv"/>
              </w:rPr>
              <w:t>tDKK</w:t>
            </w:r>
            <w:proofErr w:type="spellEnd"/>
          </w:p>
        </w:tc>
      </w:tr>
    </w:tbl>
    <w:p w14:paraId="292B3E6A" w14:textId="77777777" w:rsidR="007138DA" w:rsidRDefault="007138DA" w:rsidP="007138DA">
      <w:pPr>
        <w:rPr>
          <w:b/>
          <w:bCs/>
          <w:sz w:val="28"/>
          <w:szCs w:val="28"/>
        </w:rPr>
      </w:pPr>
    </w:p>
    <w:p w14:paraId="7B062306" w14:textId="5A644E94" w:rsidR="007138DA" w:rsidRPr="00886B87" w:rsidRDefault="007138DA" w:rsidP="007138DA">
      <w:pPr>
        <w:rPr>
          <w:sz w:val="24"/>
          <w:szCs w:val="24"/>
        </w:rPr>
      </w:pPr>
      <w:r w:rsidRPr="00886B87">
        <w:rPr>
          <w:sz w:val="24"/>
          <w:szCs w:val="24"/>
          <w:lang w:val="sv"/>
        </w:rPr>
        <w:t xml:space="preserve">Destilleriet omsätter idag cirka 2 miljoner danska kronor.  Under 2022/2023 kommer destilleriet att fokusera på att öka försäljningen av sin befintliga sprit med målet att göra Mad </w:t>
      </w:r>
      <w:proofErr w:type="spellStart"/>
      <w:r w:rsidRPr="00886B87">
        <w:rPr>
          <w:sz w:val="24"/>
          <w:szCs w:val="24"/>
          <w:lang w:val="sv"/>
        </w:rPr>
        <w:t>Owl</w:t>
      </w:r>
      <w:proofErr w:type="spellEnd"/>
      <w:r w:rsidRPr="00886B87">
        <w:rPr>
          <w:sz w:val="24"/>
          <w:szCs w:val="24"/>
          <w:lang w:val="sv"/>
        </w:rPr>
        <w:t xml:space="preserve"> gin till ett välkänt varumärke i hela Danmark.  Under </w:t>
      </w:r>
      <w:r w:rsidR="00711F61" w:rsidRPr="00886B87">
        <w:rPr>
          <w:sz w:val="24"/>
          <w:szCs w:val="24"/>
          <w:lang w:val="sv"/>
        </w:rPr>
        <w:t xml:space="preserve">sommaren </w:t>
      </w:r>
      <w:proofErr w:type="gramStart"/>
      <w:r w:rsidR="00711F61" w:rsidRPr="00886B87">
        <w:rPr>
          <w:sz w:val="24"/>
          <w:szCs w:val="24"/>
          <w:lang w:val="sv"/>
        </w:rPr>
        <w:t>2023</w:t>
      </w:r>
      <w:r w:rsidRPr="00886B87">
        <w:rPr>
          <w:sz w:val="24"/>
          <w:szCs w:val="24"/>
          <w:lang w:val="sv"/>
        </w:rPr>
        <w:t xml:space="preserve">  lanseras</w:t>
      </w:r>
      <w:proofErr w:type="gramEnd"/>
      <w:r w:rsidRPr="00886B87">
        <w:rPr>
          <w:sz w:val="24"/>
          <w:szCs w:val="24"/>
          <w:lang w:val="sv"/>
        </w:rPr>
        <w:t xml:space="preserve"> den första whiskyn, vilket förväntas påverka försäljningen för räkenskapsåret 2023/2024.  Efter whiskylanseringen förväntas försäljningen växa stadigt med en årlig ökning på 20–40%. </w:t>
      </w:r>
    </w:p>
    <w:p w14:paraId="357A9810" w14:textId="62E69230" w:rsidR="007138DA" w:rsidRDefault="007138DA" w:rsidP="007138DA">
      <w:pPr>
        <w:rPr>
          <w:sz w:val="24"/>
          <w:szCs w:val="24"/>
          <w:lang w:val="sv"/>
        </w:rPr>
      </w:pPr>
      <w:r w:rsidRPr="00886B87">
        <w:rPr>
          <w:sz w:val="24"/>
          <w:szCs w:val="24"/>
          <w:lang w:val="sv"/>
        </w:rPr>
        <w:t xml:space="preserve">Eftersom destilleriet kommer att utöka sin personalstyrka och marknadsföringskostnader under det kommande året förväntas företaget visa negativa resultat under de kommande 2 åren. </w:t>
      </w:r>
    </w:p>
    <w:p w14:paraId="42831B45" w14:textId="77777777" w:rsidR="00886B87" w:rsidRPr="00886B87" w:rsidRDefault="00886B87" w:rsidP="007138DA">
      <w:pPr>
        <w:rPr>
          <w:sz w:val="24"/>
          <w:szCs w:val="24"/>
        </w:rPr>
      </w:pPr>
    </w:p>
    <w:p w14:paraId="3B287375" w14:textId="77777777" w:rsidR="007138DA" w:rsidRPr="00886B87" w:rsidRDefault="007138DA" w:rsidP="007138DA">
      <w:pPr>
        <w:rPr>
          <w:b/>
          <w:bCs/>
          <w:sz w:val="32"/>
          <w:szCs w:val="32"/>
        </w:rPr>
      </w:pPr>
      <w:r w:rsidRPr="00886B87">
        <w:rPr>
          <w:b/>
          <w:bCs/>
          <w:sz w:val="32"/>
          <w:szCs w:val="32"/>
          <w:lang w:val="sv"/>
        </w:rPr>
        <w:t>Investering i whisky</w:t>
      </w:r>
    </w:p>
    <w:p w14:paraId="19E21A96" w14:textId="6416258F" w:rsidR="007138DA" w:rsidRDefault="007138DA" w:rsidP="007138DA">
      <w:pPr>
        <w:rPr>
          <w:sz w:val="24"/>
          <w:szCs w:val="24"/>
          <w:lang w:val="sv"/>
        </w:rPr>
      </w:pPr>
      <w:r w:rsidRPr="00886B87">
        <w:rPr>
          <w:sz w:val="24"/>
          <w:szCs w:val="24"/>
          <w:lang w:val="sv"/>
        </w:rPr>
        <w:t xml:space="preserve">Genom att investera i Thornæs </w:t>
      </w:r>
      <w:r w:rsidR="00886B87" w:rsidRPr="00886B87">
        <w:rPr>
          <w:sz w:val="24"/>
          <w:szCs w:val="24"/>
          <w:lang w:val="sv"/>
        </w:rPr>
        <w:t>Destilleri</w:t>
      </w:r>
      <w:r w:rsidRPr="00886B87">
        <w:rPr>
          <w:sz w:val="24"/>
          <w:szCs w:val="24"/>
          <w:lang w:val="sv"/>
        </w:rPr>
        <w:t xml:space="preserve"> hjälper du till att bygga upp destilleriets lager av whisky. Idag har </w:t>
      </w:r>
      <w:r w:rsidR="00886B87" w:rsidRPr="00886B87">
        <w:rPr>
          <w:sz w:val="24"/>
          <w:szCs w:val="24"/>
          <w:lang w:val="sv"/>
        </w:rPr>
        <w:t>bolaget cirka</w:t>
      </w:r>
      <w:r w:rsidRPr="00886B87">
        <w:rPr>
          <w:sz w:val="24"/>
          <w:szCs w:val="24"/>
          <w:lang w:val="sv"/>
        </w:rPr>
        <w:t xml:space="preserve"> 20. 000 liter whisky med ett uppskattat försäljningsvärde på cirka 9 miljoner danska kronor. Whiskydestilleriet är kapitalintensivt och måste lägga resurser på att producera och lagra whisky under lång tid. Men eftersom resurser används för att producera verklig sprit kommer investeringen att omvandlas till en </w:t>
      </w:r>
      <w:r w:rsidR="00886B87" w:rsidRPr="00886B87">
        <w:rPr>
          <w:sz w:val="24"/>
          <w:szCs w:val="24"/>
          <w:lang w:val="sv"/>
        </w:rPr>
        <w:t xml:space="preserve">riktig </w:t>
      </w:r>
      <w:proofErr w:type="gramStart"/>
      <w:r w:rsidR="00886B87" w:rsidRPr="00886B87">
        <w:rPr>
          <w:sz w:val="24"/>
          <w:szCs w:val="24"/>
          <w:lang w:val="sv"/>
        </w:rPr>
        <w:t>vara</w:t>
      </w:r>
      <w:r w:rsidRPr="00886B87">
        <w:rPr>
          <w:sz w:val="24"/>
          <w:szCs w:val="24"/>
          <w:lang w:val="sv"/>
        </w:rPr>
        <w:t xml:space="preserve">  -</w:t>
      </w:r>
      <w:proofErr w:type="gramEnd"/>
      <w:r w:rsidRPr="00886B87">
        <w:rPr>
          <w:sz w:val="24"/>
          <w:szCs w:val="24"/>
          <w:lang w:val="sv"/>
        </w:rPr>
        <w:t xml:space="preserve"> och med tiden  kommer denna vara till och med att öka i värde. Tabellen nedan visar väntevärdesutveckling, försäljningsvärde mot produktionskostnad över 1 år. En miljoninvestering kommer att generera ett försäljningsvärde på cirka 5 miljoner.  Destilleriet räknar med att deras whiskylager kommer ha ett värde upp emot 30 MDKK inom 2 år. </w:t>
      </w:r>
    </w:p>
    <w:p w14:paraId="40ABC97F" w14:textId="77777777" w:rsidR="00886B87" w:rsidRPr="00886B87" w:rsidRDefault="00886B87" w:rsidP="007138DA">
      <w:pPr>
        <w:rPr>
          <w:sz w:val="24"/>
          <w:szCs w:val="24"/>
          <w:lang w:val="sv"/>
        </w:rPr>
      </w:pPr>
    </w:p>
    <w:p w14:paraId="1222A01F" w14:textId="195DF238" w:rsidR="007138DA" w:rsidRDefault="007138DA" w:rsidP="007138DA">
      <w:pPr>
        <w:rPr>
          <w:rStyle w:val="Hyperlnk"/>
          <w:sz w:val="24"/>
          <w:szCs w:val="24"/>
          <w:lang w:val="sv"/>
        </w:rPr>
      </w:pPr>
      <w:r w:rsidRPr="00886B87">
        <w:rPr>
          <w:sz w:val="24"/>
          <w:szCs w:val="24"/>
          <w:lang w:val="sv"/>
        </w:rPr>
        <w:t xml:space="preserve">Historiskt har whisky visat sig vara en mycket stabil investering, och tittar man på 2022 har priset på whisky ökat med cirka 20%. Se vidare </w:t>
      </w:r>
      <w:r w:rsidR="00886B87" w:rsidRPr="00886B87">
        <w:rPr>
          <w:sz w:val="24"/>
          <w:szCs w:val="24"/>
          <w:lang w:val="sv"/>
        </w:rPr>
        <w:t xml:space="preserve">på </w:t>
      </w:r>
      <w:r w:rsidR="00886B87" w:rsidRPr="00886B87">
        <w:rPr>
          <w:sz w:val="24"/>
          <w:szCs w:val="24"/>
        </w:rPr>
        <w:t>maltwhiskyindex</w:t>
      </w:r>
      <w:hyperlink r:id="rId5" w:history="1">
        <w:r w:rsidRPr="00886B87">
          <w:rPr>
            <w:rStyle w:val="Hyperlnk"/>
            <w:sz w:val="24"/>
            <w:szCs w:val="24"/>
            <w:lang w:val="sv"/>
          </w:rPr>
          <w:t xml:space="preserve"> &amp; </w:t>
        </w:r>
        <w:proofErr w:type="gramStart"/>
        <w:r w:rsidRPr="00886B87">
          <w:rPr>
            <w:rStyle w:val="Hyperlnk"/>
            <w:sz w:val="24"/>
            <w:szCs w:val="24"/>
            <w:lang w:val="sv"/>
          </w:rPr>
          <w:t>grain whisky</w:t>
        </w:r>
        <w:proofErr w:type="gramEnd"/>
        <w:r w:rsidRPr="00886B87">
          <w:rPr>
            <w:rStyle w:val="Hyperlnk"/>
            <w:sz w:val="24"/>
            <w:szCs w:val="24"/>
            <w:lang w:val="sv"/>
          </w:rPr>
          <w:t xml:space="preserve"> index | </w:t>
        </w:r>
      </w:hyperlink>
      <w:r w:rsidRPr="00886B87">
        <w:rPr>
          <w:sz w:val="24"/>
          <w:szCs w:val="24"/>
          <w:lang w:val="sv"/>
        </w:rPr>
        <w:t xml:space="preserve"> </w:t>
      </w:r>
      <w:hyperlink r:id="rId6" w:history="1"/>
      <w:hyperlink r:id="rId7" w:history="1">
        <w:r w:rsidRPr="00886B87">
          <w:rPr>
            <w:rStyle w:val="Hyperlnk"/>
            <w:sz w:val="24"/>
            <w:szCs w:val="24"/>
            <w:lang w:val="sv"/>
          </w:rPr>
          <w:t xml:space="preserve"> </w:t>
        </w:r>
        <w:proofErr w:type="spellStart"/>
        <w:r w:rsidRPr="00886B87">
          <w:rPr>
            <w:rStyle w:val="Hyperlnk"/>
            <w:sz w:val="24"/>
            <w:szCs w:val="24"/>
            <w:lang w:val="sv"/>
          </w:rPr>
          <w:t>Whisky</w:t>
        </w:r>
      </w:hyperlink>
      <w:hyperlink r:id="rId8" w:history="1">
        <w:r w:rsidRPr="00886B87">
          <w:rPr>
            <w:rStyle w:val="Hyperlnk"/>
            <w:sz w:val="24"/>
            <w:szCs w:val="24"/>
            <w:lang w:val="sv"/>
          </w:rPr>
          <w:t>InvestDirect</w:t>
        </w:r>
        <w:proofErr w:type="spellEnd"/>
      </w:hyperlink>
    </w:p>
    <w:p w14:paraId="44220318" w14:textId="77777777" w:rsidR="00886B87" w:rsidRPr="00886B87" w:rsidRDefault="00886B87" w:rsidP="007138DA">
      <w:pPr>
        <w:rPr>
          <w:sz w:val="24"/>
          <w:szCs w:val="24"/>
        </w:rPr>
      </w:pPr>
    </w:p>
    <w:p w14:paraId="55657E82" w14:textId="77777777" w:rsidR="007138DA" w:rsidRPr="005E2CA0" w:rsidRDefault="007138DA" w:rsidP="007138DA">
      <w:r w:rsidRPr="00BA4A3A">
        <w:rPr>
          <w:noProof/>
        </w:rPr>
        <w:drawing>
          <wp:inline distT="0" distB="0" distL="0" distR="0" wp14:anchorId="564F26BD" wp14:editId="358E1566">
            <wp:extent cx="5234940" cy="3359548"/>
            <wp:effectExtent l="0" t="0" r="3810" b="0"/>
            <wp:docPr id="3" name="Billede 2">
              <a:extLst xmlns:a="http://schemas.openxmlformats.org/drawingml/2006/main">
                <a:ext uri="{FF2B5EF4-FFF2-40B4-BE49-F238E27FC236}">
                  <a16:creationId xmlns:a16="http://schemas.microsoft.com/office/drawing/2014/main" id="{7F3C67F0-BA7B-DD9F-289F-4AEC2AD80E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id="{7F3C67F0-BA7B-DD9F-289F-4AEC2AD80E32}"/>
                        </a:ext>
                      </a:extLst>
                    </pic:cNvPr>
                    <pic:cNvPicPr>
                      <a:picLocks noChangeAspect="1"/>
                    </pic:cNvPicPr>
                  </pic:nvPicPr>
                  <pic:blipFill>
                    <a:blip r:embed="rId9"/>
                    <a:stretch>
                      <a:fillRect/>
                    </a:stretch>
                  </pic:blipFill>
                  <pic:spPr>
                    <a:xfrm>
                      <a:off x="0" y="0"/>
                      <a:ext cx="5237712" cy="3361327"/>
                    </a:xfrm>
                    <a:prstGeom prst="rect">
                      <a:avLst/>
                    </a:prstGeom>
                  </pic:spPr>
                </pic:pic>
              </a:graphicData>
            </a:graphic>
          </wp:inline>
        </w:drawing>
      </w:r>
    </w:p>
    <w:p w14:paraId="31B31260" w14:textId="77777777" w:rsidR="007138DA" w:rsidRPr="00886B87" w:rsidRDefault="007138DA" w:rsidP="007138DA">
      <w:pPr>
        <w:rPr>
          <w:sz w:val="32"/>
          <w:szCs w:val="32"/>
        </w:rPr>
      </w:pPr>
    </w:p>
    <w:p w14:paraId="3DD4BBDA" w14:textId="77777777" w:rsidR="007138DA" w:rsidRPr="00886B87" w:rsidRDefault="007138DA" w:rsidP="007138DA">
      <w:pPr>
        <w:rPr>
          <w:b/>
          <w:bCs/>
          <w:sz w:val="32"/>
          <w:szCs w:val="32"/>
        </w:rPr>
      </w:pPr>
      <w:r w:rsidRPr="00886B87">
        <w:rPr>
          <w:b/>
          <w:bCs/>
          <w:sz w:val="32"/>
          <w:szCs w:val="32"/>
          <w:lang w:val="sv"/>
        </w:rPr>
        <w:t>Kapitalisering framåt</w:t>
      </w:r>
    </w:p>
    <w:p w14:paraId="25375EE8" w14:textId="77777777" w:rsidR="007138DA" w:rsidRPr="005B2C9A" w:rsidRDefault="007138DA" w:rsidP="007138DA">
      <w:r>
        <w:rPr>
          <w:lang w:val="sv"/>
        </w:rPr>
        <w:t>Bolaget vill ta in 5,5 miljoner danska kronor baserat på Equity Crowdfunding. Detta förväntas driva företaget cirka 18 månader framåt där de kommer att finansiera:</w:t>
      </w:r>
    </w:p>
    <w:p w14:paraId="5840B369" w14:textId="77777777" w:rsidR="007138DA" w:rsidRDefault="007138DA" w:rsidP="007138DA">
      <w:pPr>
        <w:pStyle w:val="Liststycke"/>
        <w:numPr>
          <w:ilvl w:val="0"/>
          <w:numId w:val="1"/>
        </w:numPr>
      </w:pPr>
      <w:r>
        <w:rPr>
          <w:lang w:val="sv"/>
        </w:rPr>
        <w:t xml:space="preserve">Whiskyproduktion </w:t>
      </w:r>
      <w:proofErr w:type="gramStart"/>
      <w:r>
        <w:rPr>
          <w:lang w:val="sv"/>
        </w:rPr>
        <w:t>2022-2023</w:t>
      </w:r>
      <w:proofErr w:type="gramEnd"/>
    </w:p>
    <w:p w14:paraId="452FA7C6" w14:textId="77777777" w:rsidR="007138DA" w:rsidRPr="005B2C9A" w:rsidRDefault="007138DA" w:rsidP="007138DA">
      <w:pPr>
        <w:pStyle w:val="Liststycke"/>
        <w:numPr>
          <w:ilvl w:val="0"/>
          <w:numId w:val="1"/>
        </w:numPr>
      </w:pPr>
      <w:r>
        <w:rPr>
          <w:lang w:val="sv"/>
        </w:rPr>
        <w:t xml:space="preserve">Förbättra produktionsanläggningen för bättre effektivitet och ökad produktionsvolym </w:t>
      </w:r>
    </w:p>
    <w:p w14:paraId="50442E98" w14:textId="77777777" w:rsidR="007138DA" w:rsidRPr="005B2C9A" w:rsidRDefault="007138DA" w:rsidP="007138DA">
      <w:pPr>
        <w:pStyle w:val="Liststycke"/>
        <w:numPr>
          <w:ilvl w:val="0"/>
          <w:numId w:val="1"/>
        </w:numPr>
      </w:pPr>
      <w:r>
        <w:rPr>
          <w:lang w:val="sv"/>
        </w:rPr>
        <w:t xml:space="preserve">Öka personalstyrkan främst i försäljning för både inhemsk och internationell försäljning </w:t>
      </w:r>
    </w:p>
    <w:p w14:paraId="62BC6AFD" w14:textId="77777777" w:rsidR="007138DA" w:rsidRPr="005B2C9A" w:rsidRDefault="007138DA" w:rsidP="007138DA">
      <w:pPr>
        <w:pStyle w:val="Liststycke"/>
        <w:numPr>
          <w:ilvl w:val="0"/>
          <w:numId w:val="1"/>
        </w:numPr>
      </w:pPr>
      <w:r w:rsidRPr="00C40976">
        <w:rPr>
          <w:lang w:val="sv"/>
        </w:rPr>
        <w:t xml:space="preserve">Marknadsförings- och försäljningsaktiviteter för att öka medvetenheten om Thornæs destilleri och destilleriprodukter </w:t>
      </w:r>
    </w:p>
    <w:p w14:paraId="716149B8" w14:textId="32C1966B" w:rsidR="007138DA" w:rsidRDefault="007138DA" w:rsidP="007138DA">
      <w:pPr>
        <w:rPr>
          <w:lang w:val="sv"/>
        </w:rPr>
      </w:pPr>
      <w:r>
        <w:rPr>
          <w:lang w:val="sv"/>
        </w:rPr>
        <w:t xml:space="preserve">Om </w:t>
      </w:r>
      <w:proofErr w:type="gramStart"/>
      <w:r>
        <w:rPr>
          <w:lang w:val="sv"/>
        </w:rPr>
        <w:t>18-24</w:t>
      </w:r>
      <w:proofErr w:type="gramEnd"/>
      <w:r>
        <w:rPr>
          <w:lang w:val="sv"/>
        </w:rPr>
        <w:t xml:space="preserve"> månader räknar bolaget med att noteras på Spotlight Stock Market och siktar därmed på att ta in ytterligare 15-20 miljoner danska kronor. Detta förväntas bidra till att </w:t>
      </w:r>
      <w:r w:rsidR="00886B87">
        <w:rPr>
          <w:lang w:val="sv"/>
        </w:rPr>
        <w:t>finansiera whiskyproduktionen</w:t>
      </w:r>
      <w:r>
        <w:rPr>
          <w:lang w:val="sv"/>
        </w:rPr>
        <w:t xml:space="preserve"> under de kommande fyra åren, förbättra destilleriets besökscenter och ytterligare uppdatera produktionslinjen. </w:t>
      </w:r>
    </w:p>
    <w:p w14:paraId="47B44DD4" w14:textId="77777777" w:rsidR="00886B87" w:rsidRDefault="00886B87" w:rsidP="007138DA">
      <w:pPr>
        <w:rPr>
          <w:lang w:val="sv"/>
        </w:rPr>
      </w:pPr>
    </w:p>
    <w:p w14:paraId="3C560191" w14:textId="77777777" w:rsidR="007138DA" w:rsidRPr="00886B87" w:rsidRDefault="007138DA" w:rsidP="007138DA">
      <w:pPr>
        <w:rPr>
          <w:rFonts w:cstheme="minorHAnsi"/>
          <w:b/>
          <w:bCs/>
          <w:sz w:val="32"/>
          <w:szCs w:val="32"/>
        </w:rPr>
      </w:pPr>
      <w:r w:rsidRPr="00886B87">
        <w:rPr>
          <w:rStyle w:val="ts-alignment-element"/>
          <w:rFonts w:cstheme="minorHAnsi"/>
          <w:b/>
          <w:bCs/>
          <w:sz w:val="32"/>
          <w:szCs w:val="32"/>
        </w:rPr>
        <w:t>Tidigare</w:t>
      </w:r>
      <w:r w:rsidRPr="00886B87">
        <w:rPr>
          <w:rFonts w:cstheme="minorHAnsi"/>
          <w:b/>
          <w:bCs/>
          <w:sz w:val="32"/>
          <w:szCs w:val="32"/>
        </w:rPr>
        <w:t xml:space="preserve"> </w:t>
      </w:r>
      <w:r w:rsidRPr="00886B87">
        <w:rPr>
          <w:rStyle w:val="ts-alignment-element"/>
          <w:rFonts w:cstheme="minorHAnsi"/>
          <w:b/>
          <w:bCs/>
          <w:sz w:val="32"/>
          <w:szCs w:val="32"/>
        </w:rPr>
        <w:t>finansiering</w:t>
      </w:r>
      <w:r w:rsidRPr="00886B87">
        <w:rPr>
          <w:rFonts w:cstheme="minorHAnsi"/>
          <w:b/>
          <w:bCs/>
          <w:sz w:val="32"/>
          <w:szCs w:val="32"/>
        </w:rPr>
        <w:t xml:space="preserve"> </w:t>
      </w:r>
    </w:p>
    <w:p w14:paraId="4A86FCE7" w14:textId="77777777" w:rsidR="007138DA" w:rsidRPr="00886B87" w:rsidRDefault="007138DA" w:rsidP="007138DA">
      <w:pPr>
        <w:spacing w:after="0"/>
        <w:rPr>
          <w:rFonts w:cstheme="minorHAnsi"/>
          <w:b/>
          <w:bCs/>
          <w:sz w:val="21"/>
          <w:szCs w:val="21"/>
        </w:rPr>
      </w:pPr>
      <w:r w:rsidRPr="00886B87">
        <w:rPr>
          <w:rStyle w:val="ts-alignment-element"/>
          <w:rFonts w:cstheme="minorHAnsi"/>
          <w:b/>
          <w:bCs/>
          <w:sz w:val="21"/>
          <w:szCs w:val="21"/>
        </w:rPr>
        <w:t>Private</w:t>
      </w:r>
      <w:r w:rsidRPr="00886B87">
        <w:rPr>
          <w:rFonts w:cstheme="minorHAnsi"/>
          <w:b/>
          <w:bCs/>
          <w:sz w:val="21"/>
          <w:szCs w:val="21"/>
        </w:rPr>
        <w:t xml:space="preserve"> </w:t>
      </w:r>
      <w:proofErr w:type="spellStart"/>
      <w:r w:rsidRPr="00886B87">
        <w:rPr>
          <w:rStyle w:val="ts-alignment-element"/>
          <w:rFonts w:cstheme="minorHAnsi"/>
          <w:b/>
          <w:bCs/>
          <w:sz w:val="21"/>
          <w:szCs w:val="21"/>
        </w:rPr>
        <w:t>equity</w:t>
      </w:r>
      <w:proofErr w:type="spellEnd"/>
      <w:r w:rsidRPr="00886B87">
        <w:rPr>
          <w:rStyle w:val="ts-alignment-element"/>
          <w:rFonts w:cstheme="minorHAnsi"/>
          <w:b/>
          <w:bCs/>
          <w:sz w:val="21"/>
          <w:szCs w:val="21"/>
        </w:rPr>
        <w:t>-investeringar:</w:t>
      </w:r>
      <w:r w:rsidRPr="00886B87">
        <w:rPr>
          <w:rFonts w:cstheme="minorHAnsi"/>
          <w:b/>
          <w:bCs/>
          <w:sz w:val="21"/>
          <w:szCs w:val="21"/>
        </w:rPr>
        <w:t xml:space="preserve"> </w:t>
      </w:r>
    </w:p>
    <w:p w14:paraId="37A112F8" w14:textId="77777777" w:rsidR="007138DA" w:rsidRPr="007138DA" w:rsidRDefault="007138DA" w:rsidP="007138DA">
      <w:pPr>
        <w:rPr>
          <w:rFonts w:cstheme="minorHAnsi"/>
          <w:sz w:val="21"/>
          <w:szCs w:val="21"/>
          <w:lang w:val="en-US"/>
        </w:rPr>
      </w:pPr>
      <w:r w:rsidRPr="007138DA">
        <w:rPr>
          <w:rStyle w:val="ts-alignment-element"/>
          <w:rFonts w:cstheme="minorHAnsi"/>
          <w:sz w:val="21"/>
          <w:szCs w:val="21"/>
          <w:lang w:val="en-US"/>
        </w:rPr>
        <w:t>1</w:t>
      </w:r>
      <w:r w:rsidRPr="007138DA">
        <w:rPr>
          <w:rFonts w:cstheme="minorHAnsi"/>
          <w:sz w:val="21"/>
          <w:szCs w:val="21"/>
          <w:lang w:val="en-US"/>
        </w:rPr>
        <w:t xml:space="preserve"> </w:t>
      </w:r>
      <w:r w:rsidRPr="007138DA">
        <w:rPr>
          <w:rStyle w:val="ts-alignment-element"/>
          <w:rFonts w:cstheme="minorHAnsi"/>
          <w:sz w:val="21"/>
          <w:szCs w:val="21"/>
          <w:lang w:val="en-US"/>
        </w:rPr>
        <w:t>760</w:t>
      </w:r>
      <w:r w:rsidRPr="007138DA">
        <w:rPr>
          <w:rFonts w:cstheme="minorHAnsi"/>
          <w:sz w:val="21"/>
          <w:szCs w:val="21"/>
          <w:lang w:val="en-US"/>
        </w:rPr>
        <w:t xml:space="preserve"> </w:t>
      </w:r>
      <w:r w:rsidRPr="007138DA">
        <w:rPr>
          <w:rStyle w:val="ts-alignment-element"/>
          <w:rFonts w:cstheme="minorHAnsi"/>
          <w:sz w:val="21"/>
          <w:szCs w:val="21"/>
          <w:lang w:val="en-US"/>
        </w:rPr>
        <w:t>000</w:t>
      </w:r>
      <w:r w:rsidRPr="007138DA">
        <w:rPr>
          <w:rFonts w:cstheme="minorHAnsi"/>
          <w:sz w:val="21"/>
          <w:szCs w:val="21"/>
          <w:lang w:val="en-US"/>
        </w:rPr>
        <w:t xml:space="preserve"> </w:t>
      </w:r>
      <w:r w:rsidRPr="007138DA">
        <w:rPr>
          <w:rStyle w:val="ts-alignment-element"/>
          <w:rFonts w:cstheme="minorHAnsi"/>
          <w:sz w:val="21"/>
          <w:szCs w:val="21"/>
          <w:lang w:val="en-US"/>
        </w:rPr>
        <w:t>DKK</w:t>
      </w:r>
      <w:r w:rsidRPr="007138DA">
        <w:rPr>
          <w:rFonts w:cstheme="minorHAnsi"/>
          <w:sz w:val="21"/>
          <w:szCs w:val="21"/>
          <w:lang w:val="en-US"/>
        </w:rPr>
        <w:t xml:space="preserve"> </w:t>
      </w:r>
    </w:p>
    <w:p w14:paraId="396180E5" w14:textId="77777777" w:rsidR="007138DA" w:rsidRPr="00886B87" w:rsidRDefault="007138DA" w:rsidP="007138DA">
      <w:pPr>
        <w:spacing w:after="0"/>
        <w:rPr>
          <w:rFonts w:cstheme="minorHAnsi"/>
          <w:b/>
          <w:bCs/>
          <w:sz w:val="21"/>
          <w:szCs w:val="21"/>
          <w:lang w:val="en-US"/>
        </w:rPr>
      </w:pPr>
      <w:proofErr w:type="spellStart"/>
      <w:r w:rsidRPr="00886B87">
        <w:rPr>
          <w:rStyle w:val="ts-alignment-element"/>
          <w:rFonts w:cstheme="minorHAnsi"/>
          <w:b/>
          <w:bCs/>
          <w:sz w:val="21"/>
          <w:szCs w:val="21"/>
          <w:lang w:val="en-US"/>
        </w:rPr>
        <w:t>Lån</w:t>
      </w:r>
      <w:proofErr w:type="spellEnd"/>
      <w:r w:rsidRPr="00886B87">
        <w:rPr>
          <w:rStyle w:val="ts-alignment-element"/>
          <w:rFonts w:cstheme="minorHAnsi"/>
          <w:b/>
          <w:bCs/>
          <w:sz w:val="21"/>
          <w:szCs w:val="21"/>
          <w:lang w:val="en-US"/>
        </w:rPr>
        <w:t>:</w:t>
      </w:r>
      <w:r w:rsidRPr="00886B87">
        <w:rPr>
          <w:rFonts w:cstheme="minorHAnsi"/>
          <w:b/>
          <w:bCs/>
          <w:sz w:val="21"/>
          <w:szCs w:val="21"/>
          <w:lang w:val="en-US"/>
        </w:rPr>
        <w:t xml:space="preserve"> </w:t>
      </w:r>
    </w:p>
    <w:p w14:paraId="6C9AB1FF" w14:textId="77777777" w:rsidR="007138DA" w:rsidRPr="007138DA" w:rsidRDefault="007138DA" w:rsidP="007138DA">
      <w:pPr>
        <w:spacing w:after="0"/>
        <w:rPr>
          <w:rFonts w:cstheme="minorHAnsi"/>
          <w:sz w:val="21"/>
          <w:szCs w:val="21"/>
          <w:lang w:val="en-US"/>
        </w:rPr>
      </w:pPr>
      <w:r w:rsidRPr="007138DA">
        <w:rPr>
          <w:rStyle w:val="ts-alignment-element"/>
          <w:rFonts w:cstheme="minorHAnsi"/>
          <w:sz w:val="21"/>
          <w:szCs w:val="21"/>
          <w:lang w:val="en-US"/>
        </w:rPr>
        <w:t>Crowdlending</w:t>
      </w:r>
      <w:r w:rsidRPr="007138DA">
        <w:rPr>
          <w:rFonts w:cstheme="minorHAnsi"/>
          <w:sz w:val="21"/>
          <w:szCs w:val="21"/>
          <w:lang w:val="en-US"/>
        </w:rPr>
        <w:t xml:space="preserve"> </w:t>
      </w:r>
      <w:r w:rsidRPr="007138DA">
        <w:rPr>
          <w:rStyle w:val="ts-alignment-element"/>
          <w:rFonts w:cstheme="minorHAnsi"/>
          <w:sz w:val="21"/>
          <w:szCs w:val="21"/>
          <w:lang w:val="en-US"/>
        </w:rPr>
        <w:t>via</w:t>
      </w:r>
      <w:r w:rsidRPr="007138DA">
        <w:rPr>
          <w:rFonts w:cstheme="minorHAnsi"/>
          <w:sz w:val="21"/>
          <w:szCs w:val="21"/>
          <w:lang w:val="en-US"/>
        </w:rPr>
        <w:t xml:space="preserve"> </w:t>
      </w:r>
      <w:proofErr w:type="spellStart"/>
      <w:r w:rsidRPr="007138DA">
        <w:rPr>
          <w:rStyle w:val="ts-alignment-element"/>
          <w:rFonts w:cstheme="minorHAnsi"/>
          <w:sz w:val="21"/>
          <w:szCs w:val="21"/>
          <w:lang w:val="en-US"/>
        </w:rPr>
        <w:t>Flexfunding</w:t>
      </w:r>
      <w:proofErr w:type="spellEnd"/>
      <w:r w:rsidRPr="007138DA">
        <w:rPr>
          <w:rFonts w:cstheme="minorHAnsi"/>
          <w:sz w:val="21"/>
          <w:szCs w:val="21"/>
          <w:lang w:val="en-US"/>
        </w:rPr>
        <w:t xml:space="preserve"> </w:t>
      </w:r>
      <w:r w:rsidRPr="007138DA">
        <w:rPr>
          <w:rStyle w:val="ts-alignment-element"/>
          <w:rFonts w:cstheme="minorHAnsi"/>
          <w:sz w:val="21"/>
          <w:szCs w:val="21"/>
          <w:lang w:val="en-US"/>
        </w:rPr>
        <w:t>1</w:t>
      </w:r>
      <w:r w:rsidRPr="007138DA">
        <w:rPr>
          <w:rFonts w:cstheme="minorHAnsi"/>
          <w:sz w:val="21"/>
          <w:szCs w:val="21"/>
          <w:lang w:val="en-US"/>
        </w:rPr>
        <w:t xml:space="preserve"> 000 </w:t>
      </w:r>
      <w:r w:rsidRPr="007138DA">
        <w:rPr>
          <w:rStyle w:val="ts-alignment-element"/>
          <w:rFonts w:cstheme="minorHAnsi"/>
          <w:sz w:val="21"/>
          <w:szCs w:val="21"/>
          <w:lang w:val="en-US"/>
        </w:rPr>
        <w:t>000</w:t>
      </w:r>
      <w:r w:rsidRPr="007138DA">
        <w:rPr>
          <w:rFonts w:cstheme="minorHAnsi"/>
          <w:sz w:val="21"/>
          <w:szCs w:val="21"/>
          <w:lang w:val="en-US"/>
        </w:rPr>
        <w:t xml:space="preserve"> </w:t>
      </w:r>
      <w:r w:rsidRPr="007138DA">
        <w:rPr>
          <w:rStyle w:val="ts-alignment-element"/>
          <w:rFonts w:cstheme="minorHAnsi"/>
          <w:sz w:val="21"/>
          <w:szCs w:val="21"/>
          <w:lang w:val="en-US"/>
        </w:rPr>
        <w:t>DKK</w:t>
      </w:r>
      <w:r w:rsidRPr="007138DA">
        <w:rPr>
          <w:rFonts w:cstheme="minorHAnsi"/>
          <w:sz w:val="21"/>
          <w:szCs w:val="21"/>
          <w:lang w:val="en-US"/>
        </w:rPr>
        <w:t xml:space="preserve"> </w:t>
      </w:r>
    </w:p>
    <w:p w14:paraId="05AB778E" w14:textId="77777777" w:rsidR="007138DA" w:rsidRPr="007138DA" w:rsidRDefault="007138DA" w:rsidP="007138DA">
      <w:pPr>
        <w:rPr>
          <w:rFonts w:cstheme="minorHAnsi"/>
          <w:sz w:val="21"/>
          <w:szCs w:val="21"/>
          <w:lang w:val="en-US"/>
        </w:rPr>
      </w:pPr>
      <w:r w:rsidRPr="007138DA">
        <w:rPr>
          <w:rStyle w:val="ts-alignment-element"/>
          <w:rFonts w:cstheme="minorHAnsi"/>
          <w:sz w:val="21"/>
          <w:szCs w:val="21"/>
          <w:lang w:val="en-US"/>
        </w:rPr>
        <w:t>Whisky</w:t>
      </w:r>
      <w:r w:rsidRPr="007138DA">
        <w:rPr>
          <w:rFonts w:cstheme="minorHAnsi"/>
          <w:sz w:val="21"/>
          <w:szCs w:val="21"/>
          <w:lang w:val="en-US"/>
        </w:rPr>
        <w:t xml:space="preserve"> </w:t>
      </w:r>
      <w:r w:rsidRPr="007138DA">
        <w:rPr>
          <w:rStyle w:val="ts-alignment-element"/>
          <w:rFonts w:cstheme="minorHAnsi"/>
          <w:sz w:val="21"/>
          <w:szCs w:val="21"/>
          <w:lang w:val="en-US"/>
        </w:rPr>
        <w:t>Bonds</w:t>
      </w:r>
      <w:r w:rsidRPr="007138DA">
        <w:rPr>
          <w:rFonts w:cstheme="minorHAnsi"/>
          <w:sz w:val="21"/>
          <w:szCs w:val="21"/>
          <w:lang w:val="en-US"/>
        </w:rPr>
        <w:t xml:space="preserve"> </w:t>
      </w:r>
      <w:r w:rsidRPr="007138DA">
        <w:rPr>
          <w:rStyle w:val="ts-alignment-element"/>
          <w:rFonts w:cstheme="minorHAnsi"/>
          <w:sz w:val="21"/>
          <w:szCs w:val="21"/>
          <w:lang w:val="en-US"/>
        </w:rPr>
        <w:t>128</w:t>
      </w:r>
      <w:r w:rsidRPr="007138DA">
        <w:rPr>
          <w:rFonts w:cstheme="minorHAnsi"/>
          <w:sz w:val="21"/>
          <w:szCs w:val="21"/>
          <w:lang w:val="en-US"/>
        </w:rPr>
        <w:t xml:space="preserve"> </w:t>
      </w:r>
      <w:r w:rsidRPr="007138DA">
        <w:rPr>
          <w:rStyle w:val="ts-alignment-element"/>
          <w:rFonts w:cstheme="minorHAnsi"/>
          <w:sz w:val="21"/>
          <w:szCs w:val="21"/>
          <w:lang w:val="en-US"/>
        </w:rPr>
        <w:t>900</w:t>
      </w:r>
      <w:r w:rsidRPr="007138DA">
        <w:rPr>
          <w:rFonts w:cstheme="minorHAnsi"/>
          <w:sz w:val="21"/>
          <w:szCs w:val="21"/>
          <w:lang w:val="en-US"/>
        </w:rPr>
        <w:t xml:space="preserve"> </w:t>
      </w:r>
      <w:r w:rsidRPr="007138DA">
        <w:rPr>
          <w:rStyle w:val="ts-alignment-element"/>
          <w:rFonts w:cstheme="minorHAnsi"/>
          <w:sz w:val="21"/>
          <w:szCs w:val="21"/>
          <w:lang w:val="en-US"/>
        </w:rPr>
        <w:t>DKK</w:t>
      </w:r>
      <w:r w:rsidRPr="007138DA">
        <w:rPr>
          <w:rFonts w:cstheme="minorHAnsi"/>
          <w:sz w:val="21"/>
          <w:szCs w:val="21"/>
          <w:lang w:val="en-US"/>
        </w:rPr>
        <w:t xml:space="preserve"> </w:t>
      </w:r>
    </w:p>
    <w:p w14:paraId="1E163610" w14:textId="77777777" w:rsidR="007138DA" w:rsidRPr="00886B87" w:rsidRDefault="007138DA" w:rsidP="007138DA">
      <w:pPr>
        <w:spacing w:after="0"/>
        <w:rPr>
          <w:rFonts w:cstheme="minorHAnsi"/>
          <w:b/>
          <w:bCs/>
          <w:sz w:val="21"/>
          <w:szCs w:val="21"/>
        </w:rPr>
      </w:pPr>
      <w:r w:rsidRPr="00886B87">
        <w:rPr>
          <w:rStyle w:val="ts-alignment-element"/>
          <w:rFonts w:cstheme="minorHAnsi"/>
          <w:b/>
          <w:bCs/>
          <w:sz w:val="21"/>
          <w:szCs w:val="21"/>
        </w:rPr>
        <w:t>Mjuk</w:t>
      </w:r>
      <w:r w:rsidRPr="00886B87">
        <w:rPr>
          <w:rFonts w:cstheme="minorHAnsi"/>
          <w:b/>
          <w:bCs/>
          <w:sz w:val="21"/>
          <w:szCs w:val="21"/>
        </w:rPr>
        <w:t xml:space="preserve"> </w:t>
      </w:r>
      <w:r w:rsidRPr="00886B87">
        <w:rPr>
          <w:rStyle w:val="ts-alignment-element"/>
          <w:rFonts w:cstheme="minorHAnsi"/>
          <w:b/>
          <w:bCs/>
          <w:sz w:val="21"/>
          <w:szCs w:val="21"/>
        </w:rPr>
        <w:t>finansiering:</w:t>
      </w:r>
      <w:r w:rsidRPr="00886B87">
        <w:rPr>
          <w:rFonts w:cstheme="minorHAnsi"/>
          <w:b/>
          <w:bCs/>
          <w:sz w:val="21"/>
          <w:szCs w:val="21"/>
        </w:rPr>
        <w:t xml:space="preserve"> </w:t>
      </w:r>
    </w:p>
    <w:p w14:paraId="5524D57C" w14:textId="77777777" w:rsidR="007138DA" w:rsidRPr="005B2C9A" w:rsidRDefault="007138DA" w:rsidP="007138DA">
      <w:pPr>
        <w:rPr>
          <w:rFonts w:cstheme="minorHAnsi"/>
          <w:sz w:val="21"/>
          <w:szCs w:val="21"/>
        </w:rPr>
      </w:pPr>
      <w:r w:rsidRPr="005B2C9A">
        <w:rPr>
          <w:rStyle w:val="ts-alignment-element"/>
          <w:rFonts w:cstheme="minorHAnsi"/>
          <w:sz w:val="21"/>
          <w:szCs w:val="21"/>
        </w:rPr>
        <w:lastRenderedPageBreak/>
        <w:t>LAG-fonden</w:t>
      </w:r>
      <w:r w:rsidRPr="005B2C9A">
        <w:rPr>
          <w:rFonts w:cstheme="minorHAnsi"/>
          <w:sz w:val="21"/>
          <w:szCs w:val="21"/>
        </w:rPr>
        <w:t xml:space="preserve"> </w:t>
      </w:r>
      <w:r w:rsidRPr="005B2C9A">
        <w:rPr>
          <w:rStyle w:val="ts-alignment-element"/>
          <w:rFonts w:cstheme="minorHAnsi"/>
          <w:sz w:val="21"/>
          <w:szCs w:val="21"/>
        </w:rPr>
        <w:t>–</w:t>
      </w:r>
      <w:r w:rsidRPr="005B2C9A">
        <w:rPr>
          <w:rFonts w:cstheme="minorHAnsi"/>
          <w:sz w:val="21"/>
          <w:szCs w:val="21"/>
        </w:rPr>
        <w:t xml:space="preserve"> </w:t>
      </w:r>
      <w:r w:rsidRPr="005B2C9A">
        <w:rPr>
          <w:rStyle w:val="ts-alignment-element"/>
          <w:rFonts w:cstheme="minorHAnsi"/>
          <w:sz w:val="21"/>
          <w:szCs w:val="21"/>
        </w:rPr>
        <w:t>Offentlig</w:t>
      </w:r>
      <w:r w:rsidRPr="005B2C9A">
        <w:rPr>
          <w:rFonts w:cstheme="minorHAnsi"/>
          <w:sz w:val="21"/>
          <w:szCs w:val="21"/>
        </w:rPr>
        <w:t xml:space="preserve"> </w:t>
      </w:r>
      <w:r w:rsidRPr="005B2C9A">
        <w:rPr>
          <w:rStyle w:val="ts-alignment-element"/>
          <w:rFonts w:cstheme="minorHAnsi"/>
          <w:sz w:val="21"/>
          <w:szCs w:val="21"/>
        </w:rPr>
        <w:t>finansiering</w:t>
      </w:r>
      <w:r w:rsidRPr="005B2C9A">
        <w:rPr>
          <w:rFonts w:cstheme="minorHAnsi"/>
          <w:sz w:val="21"/>
          <w:szCs w:val="21"/>
        </w:rPr>
        <w:t xml:space="preserve"> </w:t>
      </w:r>
      <w:r w:rsidRPr="005B2C9A">
        <w:rPr>
          <w:rStyle w:val="ts-alignment-element"/>
          <w:rFonts w:cstheme="minorHAnsi"/>
          <w:sz w:val="21"/>
          <w:szCs w:val="21"/>
        </w:rPr>
        <w:t>350</w:t>
      </w:r>
      <w:r w:rsidRPr="005B2C9A">
        <w:rPr>
          <w:rFonts w:cstheme="minorHAnsi"/>
          <w:sz w:val="21"/>
          <w:szCs w:val="21"/>
        </w:rPr>
        <w:t xml:space="preserve"> </w:t>
      </w:r>
      <w:r w:rsidRPr="005B2C9A">
        <w:rPr>
          <w:rStyle w:val="ts-alignment-element"/>
          <w:rFonts w:cstheme="minorHAnsi"/>
          <w:sz w:val="21"/>
          <w:szCs w:val="21"/>
        </w:rPr>
        <w:t>000</w:t>
      </w:r>
      <w:r w:rsidRPr="005B2C9A">
        <w:rPr>
          <w:rFonts w:cstheme="minorHAnsi"/>
          <w:sz w:val="21"/>
          <w:szCs w:val="21"/>
        </w:rPr>
        <w:t xml:space="preserve"> </w:t>
      </w:r>
      <w:r w:rsidRPr="005B2C9A">
        <w:rPr>
          <w:rStyle w:val="ts-alignment-element"/>
          <w:rFonts w:cstheme="minorHAnsi"/>
          <w:sz w:val="21"/>
          <w:szCs w:val="21"/>
        </w:rPr>
        <w:t>DKK</w:t>
      </w:r>
      <w:r w:rsidRPr="005B2C9A">
        <w:rPr>
          <w:rFonts w:cstheme="minorHAnsi"/>
          <w:sz w:val="21"/>
          <w:szCs w:val="21"/>
        </w:rPr>
        <w:t xml:space="preserve"> </w:t>
      </w:r>
    </w:p>
    <w:p w14:paraId="011ECF71" w14:textId="4C6AA826" w:rsidR="007138DA" w:rsidRPr="005B2C9A" w:rsidRDefault="007138DA" w:rsidP="007138DA">
      <w:pPr>
        <w:spacing w:after="0"/>
        <w:rPr>
          <w:rStyle w:val="ts-alignment-element"/>
          <w:rFonts w:cstheme="minorHAnsi"/>
          <w:b/>
          <w:bCs/>
          <w:sz w:val="21"/>
          <w:szCs w:val="21"/>
        </w:rPr>
      </w:pPr>
      <w:r w:rsidRPr="005B2C9A">
        <w:rPr>
          <w:rStyle w:val="ts-alignment-element"/>
          <w:rFonts w:cstheme="minorHAnsi"/>
          <w:b/>
          <w:bCs/>
          <w:sz w:val="21"/>
          <w:szCs w:val="21"/>
        </w:rPr>
        <w:t>Största</w:t>
      </w:r>
      <w:r w:rsidRPr="005B2C9A">
        <w:rPr>
          <w:rFonts w:cstheme="minorHAnsi"/>
          <w:b/>
          <w:bCs/>
          <w:sz w:val="21"/>
          <w:szCs w:val="21"/>
        </w:rPr>
        <w:t xml:space="preserve"> </w:t>
      </w:r>
      <w:r w:rsidRPr="005B2C9A">
        <w:rPr>
          <w:rStyle w:val="ts-alignment-element"/>
          <w:rFonts w:cstheme="minorHAnsi"/>
          <w:b/>
          <w:bCs/>
          <w:sz w:val="21"/>
          <w:szCs w:val="21"/>
        </w:rPr>
        <w:t>ägare</w:t>
      </w:r>
      <w:r w:rsidR="00886B87">
        <w:rPr>
          <w:rStyle w:val="ts-alignment-element"/>
          <w:rFonts w:cstheme="minorHAnsi"/>
          <w:b/>
          <w:bCs/>
          <w:sz w:val="21"/>
          <w:szCs w:val="21"/>
        </w:rPr>
        <w:t>:</w:t>
      </w:r>
    </w:p>
    <w:p w14:paraId="1608C9EA" w14:textId="77777777" w:rsidR="007138DA" w:rsidRPr="005B2C9A" w:rsidRDefault="007138DA" w:rsidP="007138DA">
      <w:pPr>
        <w:spacing w:after="0"/>
        <w:rPr>
          <w:rFonts w:cstheme="minorHAnsi"/>
          <w:sz w:val="21"/>
          <w:szCs w:val="21"/>
        </w:rPr>
      </w:pPr>
      <w:r w:rsidRPr="005B2C9A">
        <w:rPr>
          <w:rFonts w:cstheme="minorHAnsi"/>
          <w:sz w:val="21"/>
          <w:szCs w:val="21"/>
        </w:rPr>
        <w:t xml:space="preserve">Thornæs </w:t>
      </w:r>
      <w:r w:rsidRPr="005B2C9A">
        <w:rPr>
          <w:rStyle w:val="ts-alignment-element"/>
          <w:rFonts w:cstheme="minorHAnsi"/>
          <w:sz w:val="21"/>
          <w:szCs w:val="21"/>
        </w:rPr>
        <w:t>Holding</w:t>
      </w:r>
      <w:r w:rsidRPr="005B2C9A">
        <w:rPr>
          <w:rFonts w:cstheme="minorHAnsi"/>
          <w:sz w:val="21"/>
          <w:szCs w:val="21"/>
        </w:rPr>
        <w:t xml:space="preserve"> </w:t>
      </w:r>
      <w:r w:rsidRPr="005B2C9A">
        <w:rPr>
          <w:rStyle w:val="ts-alignment-element"/>
          <w:rFonts w:cstheme="minorHAnsi"/>
          <w:sz w:val="21"/>
          <w:szCs w:val="21"/>
        </w:rPr>
        <w:t>(grundare</w:t>
      </w:r>
      <w:r w:rsidRPr="005B2C9A">
        <w:rPr>
          <w:rFonts w:cstheme="minorHAnsi"/>
          <w:sz w:val="21"/>
          <w:szCs w:val="21"/>
        </w:rPr>
        <w:t xml:space="preserve"> </w:t>
      </w:r>
      <w:r w:rsidRPr="005B2C9A">
        <w:rPr>
          <w:rStyle w:val="ts-alignment-element"/>
          <w:rFonts w:cstheme="minorHAnsi"/>
          <w:sz w:val="21"/>
          <w:szCs w:val="21"/>
        </w:rPr>
        <w:t>Torben</w:t>
      </w:r>
      <w:r w:rsidRPr="005B2C9A">
        <w:rPr>
          <w:rFonts w:cstheme="minorHAnsi"/>
          <w:sz w:val="21"/>
          <w:szCs w:val="21"/>
        </w:rPr>
        <w:t xml:space="preserve"> </w:t>
      </w:r>
      <w:r w:rsidRPr="005B2C9A">
        <w:rPr>
          <w:rStyle w:val="ts-alignment-element"/>
          <w:rFonts w:cstheme="minorHAnsi"/>
          <w:sz w:val="21"/>
          <w:szCs w:val="21"/>
        </w:rPr>
        <w:t>Thornæs</w:t>
      </w:r>
      <w:r w:rsidRPr="005B2C9A">
        <w:rPr>
          <w:rFonts w:cstheme="minorHAnsi"/>
          <w:sz w:val="21"/>
          <w:szCs w:val="21"/>
        </w:rPr>
        <w:t xml:space="preserve"> </w:t>
      </w:r>
      <w:r w:rsidRPr="005B2C9A">
        <w:rPr>
          <w:rStyle w:val="ts-alignment-element"/>
          <w:rFonts w:cstheme="minorHAnsi"/>
          <w:sz w:val="21"/>
          <w:szCs w:val="21"/>
        </w:rPr>
        <w:t>Andersen)</w:t>
      </w:r>
      <w:r w:rsidRPr="005B2C9A">
        <w:rPr>
          <w:rFonts w:cstheme="minorHAnsi"/>
          <w:sz w:val="21"/>
          <w:szCs w:val="21"/>
        </w:rPr>
        <w:t xml:space="preserve"> </w:t>
      </w:r>
      <w:r w:rsidRPr="005B2C9A">
        <w:rPr>
          <w:rStyle w:val="ts-alignment-element"/>
          <w:rFonts w:cstheme="minorHAnsi"/>
          <w:sz w:val="21"/>
          <w:szCs w:val="21"/>
        </w:rPr>
        <w:t>77,12</w:t>
      </w:r>
      <w:r w:rsidRPr="005B2C9A">
        <w:rPr>
          <w:rFonts w:cstheme="minorHAnsi"/>
          <w:sz w:val="21"/>
          <w:szCs w:val="21"/>
        </w:rPr>
        <w:t xml:space="preserve"> </w:t>
      </w:r>
      <w:r w:rsidRPr="005B2C9A">
        <w:rPr>
          <w:rStyle w:val="ts-alignment-element"/>
          <w:rFonts w:cstheme="minorHAnsi"/>
          <w:sz w:val="21"/>
          <w:szCs w:val="21"/>
        </w:rPr>
        <w:t>%</w:t>
      </w:r>
      <w:r w:rsidRPr="005B2C9A">
        <w:rPr>
          <w:rFonts w:cstheme="minorHAnsi"/>
          <w:sz w:val="21"/>
          <w:szCs w:val="21"/>
        </w:rPr>
        <w:t xml:space="preserve"> </w:t>
      </w:r>
    </w:p>
    <w:p w14:paraId="6A36E1C2" w14:textId="77777777" w:rsidR="007138DA" w:rsidRPr="005B2C9A" w:rsidRDefault="007138DA" w:rsidP="007138DA">
      <w:pPr>
        <w:spacing w:after="0"/>
        <w:rPr>
          <w:rFonts w:cstheme="minorHAnsi"/>
          <w:sz w:val="21"/>
          <w:szCs w:val="21"/>
        </w:rPr>
      </w:pPr>
      <w:r w:rsidRPr="005B2C9A">
        <w:rPr>
          <w:rStyle w:val="ts-alignment-element"/>
          <w:rFonts w:cstheme="minorHAnsi"/>
          <w:sz w:val="21"/>
          <w:szCs w:val="21"/>
        </w:rPr>
        <w:t>Jesper</w:t>
      </w:r>
      <w:r w:rsidRPr="005B2C9A">
        <w:rPr>
          <w:rFonts w:cstheme="minorHAnsi"/>
          <w:sz w:val="21"/>
          <w:szCs w:val="21"/>
        </w:rPr>
        <w:t xml:space="preserve"> </w:t>
      </w:r>
      <w:r w:rsidRPr="005B2C9A">
        <w:rPr>
          <w:rStyle w:val="ts-alignment-element"/>
          <w:rFonts w:cstheme="minorHAnsi"/>
          <w:sz w:val="21"/>
          <w:szCs w:val="21"/>
        </w:rPr>
        <w:t>E.</w:t>
      </w:r>
      <w:r w:rsidRPr="005B2C9A">
        <w:rPr>
          <w:rFonts w:cstheme="minorHAnsi"/>
          <w:sz w:val="21"/>
          <w:szCs w:val="21"/>
        </w:rPr>
        <w:t xml:space="preserve"> </w:t>
      </w:r>
      <w:r w:rsidRPr="005B2C9A">
        <w:rPr>
          <w:rStyle w:val="ts-alignment-element"/>
          <w:rFonts w:cstheme="minorHAnsi"/>
          <w:sz w:val="21"/>
          <w:szCs w:val="21"/>
        </w:rPr>
        <w:t>Møller</w:t>
      </w:r>
      <w:r w:rsidRPr="005B2C9A">
        <w:rPr>
          <w:rFonts w:cstheme="minorHAnsi"/>
          <w:sz w:val="21"/>
          <w:szCs w:val="21"/>
        </w:rPr>
        <w:t xml:space="preserve"> </w:t>
      </w:r>
      <w:r w:rsidRPr="005B2C9A">
        <w:rPr>
          <w:rStyle w:val="ts-alignment-element"/>
          <w:rFonts w:cstheme="minorHAnsi"/>
          <w:sz w:val="21"/>
          <w:szCs w:val="21"/>
        </w:rPr>
        <w:t>6,26</w:t>
      </w:r>
      <w:r w:rsidRPr="005B2C9A">
        <w:rPr>
          <w:rFonts w:cstheme="minorHAnsi"/>
          <w:sz w:val="21"/>
          <w:szCs w:val="21"/>
        </w:rPr>
        <w:t xml:space="preserve"> </w:t>
      </w:r>
      <w:r w:rsidRPr="005B2C9A">
        <w:rPr>
          <w:rStyle w:val="ts-alignment-element"/>
          <w:rFonts w:cstheme="minorHAnsi"/>
          <w:sz w:val="21"/>
          <w:szCs w:val="21"/>
        </w:rPr>
        <w:t>%</w:t>
      </w:r>
      <w:r w:rsidRPr="005B2C9A">
        <w:rPr>
          <w:rFonts w:cstheme="minorHAnsi"/>
          <w:sz w:val="21"/>
          <w:szCs w:val="21"/>
        </w:rPr>
        <w:t xml:space="preserve"> </w:t>
      </w:r>
    </w:p>
    <w:p w14:paraId="567FCD51" w14:textId="77777777" w:rsidR="007138DA" w:rsidRDefault="007138DA" w:rsidP="007138DA">
      <w:pPr>
        <w:spacing w:after="0"/>
        <w:rPr>
          <w:rStyle w:val="ts-alignment-element"/>
          <w:rFonts w:cstheme="minorHAnsi"/>
          <w:sz w:val="21"/>
          <w:szCs w:val="21"/>
        </w:rPr>
      </w:pPr>
      <w:r w:rsidRPr="005B2C9A">
        <w:rPr>
          <w:rStyle w:val="ts-alignment-element"/>
          <w:rFonts w:cstheme="minorHAnsi"/>
          <w:sz w:val="21"/>
          <w:szCs w:val="21"/>
        </w:rPr>
        <w:t>Steen</w:t>
      </w:r>
      <w:r w:rsidRPr="005B2C9A">
        <w:rPr>
          <w:rFonts w:cstheme="minorHAnsi"/>
          <w:sz w:val="21"/>
          <w:szCs w:val="21"/>
        </w:rPr>
        <w:t xml:space="preserve"> </w:t>
      </w:r>
      <w:r w:rsidRPr="005B2C9A">
        <w:rPr>
          <w:rStyle w:val="ts-alignment-element"/>
          <w:rFonts w:cstheme="minorHAnsi"/>
          <w:sz w:val="21"/>
          <w:szCs w:val="21"/>
        </w:rPr>
        <w:t>D.</w:t>
      </w:r>
      <w:r w:rsidRPr="005B2C9A">
        <w:rPr>
          <w:rFonts w:cstheme="minorHAnsi"/>
          <w:sz w:val="21"/>
          <w:szCs w:val="21"/>
        </w:rPr>
        <w:t xml:space="preserve"> </w:t>
      </w:r>
      <w:r w:rsidRPr="005B2C9A">
        <w:rPr>
          <w:rStyle w:val="ts-alignment-element"/>
          <w:rFonts w:cstheme="minorHAnsi"/>
          <w:sz w:val="21"/>
          <w:szCs w:val="21"/>
        </w:rPr>
        <w:t>Jensen</w:t>
      </w:r>
      <w:r w:rsidRPr="005B2C9A">
        <w:rPr>
          <w:rFonts w:cstheme="minorHAnsi"/>
          <w:sz w:val="21"/>
          <w:szCs w:val="21"/>
        </w:rPr>
        <w:t xml:space="preserve"> </w:t>
      </w:r>
      <w:r w:rsidRPr="005B2C9A">
        <w:rPr>
          <w:rStyle w:val="ts-alignment-element"/>
          <w:rFonts w:cstheme="minorHAnsi"/>
          <w:sz w:val="21"/>
          <w:szCs w:val="21"/>
        </w:rPr>
        <w:t>6,27</w:t>
      </w:r>
      <w:r w:rsidRPr="005B2C9A">
        <w:rPr>
          <w:rFonts w:cstheme="minorHAnsi"/>
          <w:sz w:val="21"/>
          <w:szCs w:val="21"/>
        </w:rPr>
        <w:t xml:space="preserve"> </w:t>
      </w:r>
      <w:r w:rsidRPr="005B2C9A">
        <w:rPr>
          <w:rStyle w:val="ts-alignment-element"/>
          <w:rFonts w:cstheme="minorHAnsi"/>
          <w:sz w:val="21"/>
          <w:szCs w:val="21"/>
        </w:rPr>
        <w:t>%</w:t>
      </w:r>
    </w:p>
    <w:p w14:paraId="7FF48BEA" w14:textId="77777777" w:rsidR="007138DA" w:rsidRPr="005B2C9A" w:rsidRDefault="007138DA" w:rsidP="007138DA">
      <w:pPr>
        <w:spacing w:after="0"/>
        <w:rPr>
          <w:rFonts w:cstheme="minorHAnsi"/>
        </w:rPr>
      </w:pPr>
    </w:p>
    <w:p w14:paraId="63A89AFF" w14:textId="329F3A14" w:rsidR="007138DA" w:rsidRPr="00886B87" w:rsidRDefault="007138DA" w:rsidP="007138DA">
      <w:pPr>
        <w:rPr>
          <w:b/>
          <w:bCs/>
        </w:rPr>
      </w:pPr>
      <w:r w:rsidRPr="00886B87">
        <w:rPr>
          <w:b/>
          <w:bCs/>
          <w:lang w:val="sv"/>
        </w:rPr>
        <w:t>Se årsredovisning i eget dokument</w:t>
      </w:r>
    </w:p>
    <w:p w14:paraId="6CF8F98E" w14:textId="77777777" w:rsidR="00C2708C" w:rsidRDefault="00C2708C"/>
    <w:sectPr w:rsidR="00C27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A67"/>
    <w:multiLevelType w:val="hybridMultilevel"/>
    <w:tmpl w:val="A8B84792"/>
    <w:lvl w:ilvl="0" w:tplc="E744B0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164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DA"/>
    <w:rsid w:val="0020324A"/>
    <w:rsid w:val="00711F61"/>
    <w:rsid w:val="007138DA"/>
    <w:rsid w:val="00886B87"/>
    <w:rsid w:val="00B54D04"/>
    <w:rsid w:val="00BF4258"/>
    <w:rsid w:val="00BF79A5"/>
    <w:rsid w:val="00C27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43FB"/>
  <w15:chartTrackingRefBased/>
  <w15:docId w15:val="{32F3269F-5927-4F6F-A4DD-E83EE1FF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8DA"/>
    <w:pPr>
      <w:ind w:left="720"/>
      <w:contextualSpacing/>
    </w:pPr>
  </w:style>
  <w:style w:type="character" w:styleId="Hyperlnk">
    <w:name w:val="Hyperlink"/>
    <w:basedOn w:val="Standardstycketeckensnitt"/>
    <w:uiPriority w:val="99"/>
    <w:semiHidden/>
    <w:unhideWhenUsed/>
    <w:rsid w:val="007138DA"/>
    <w:rPr>
      <w:color w:val="0000FF"/>
      <w:u w:val="single"/>
    </w:rPr>
  </w:style>
  <w:style w:type="character" w:customStyle="1" w:styleId="ts-alignment-element">
    <w:name w:val="ts-alignment-element"/>
    <w:basedOn w:val="Standardstycketeckensnitt"/>
    <w:rsid w:val="0071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skyinvestdirect.com/about-whisky/whisky-index" TargetMode="External"/><Relationship Id="rId3" Type="http://schemas.openxmlformats.org/officeDocument/2006/relationships/settings" Target="settings.xml"/><Relationship Id="rId7" Type="http://schemas.openxmlformats.org/officeDocument/2006/relationships/hyperlink" Target="https://www.whiskyinvestdirect.com/about-whisky/whisky-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skyinvestdirect.com/about-whisky/whisky-index" TargetMode="External"/><Relationship Id="rId11" Type="http://schemas.openxmlformats.org/officeDocument/2006/relationships/theme" Target="theme/theme1.xml"/><Relationship Id="rId5" Type="http://schemas.openxmlformats.org/officeDocument/2006/relationships/hyperlink" Target="https://www.whiskyinvestdirect.com/about-whisky/whisky-ind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Anna Andersson</cp:lastModifiedBy>
  <cp:revision>2</cp:revision>
  <cp:lastPrinted>2023-01-05T11:58:00Z</cp:lastPrinted>
  <dcterms:created xsi:type="dcterms:W3CDTF">2023-01-12T08:41:00Z</dcterms:created>
  <dcterms:modified xsi:type="dcterms:W3CDTF">2023-01-12T08:41:00Z</dcterms:modified>
</cp:coreProperties>
</file>